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4C5D9" w14:textId="77777777" w:rsidR="00527810" w:rsidRPr="00686040" w:rsidRDefault="00527810" w:rsidP="009D075B">
      <w:pPr>
        <w:spacing w:after="0" w:line="240" w:lineRule="auto"/>
        <w:jc w:val="center"/>
        <w:rPr>
          <w:rFonts w:ascii="Times New Roman" w:eastAsia="Times New Roman" w:hAnsi="Times New Roman" w:cs="Times New Roman"/>
          <w:b/>
          <w:bCs/>
          <w:kern w:val="0"/>
          <w:sz w:val="30"/>
          <w:szCs w:val="30"/>
          <w:lang w:val="en-GB"/>
          <w14:ligatures w14:val="none"/>
        </w:rPr>
      </w:pPr>
    </w:p>
    <w:p w14:paraId="20E46001" w14:textId="0F71EAA2" w:rsidR="009D075B" w:rsidRPr="00686040" w:rsidRDefault="00DC1A5D" w:rsidP="009D075B">
      <w:pPr>
        <w:spacing w:after="0" w:line="240" w:lineRule="auto"/>
        <w:jc w:val="center"/>
        <w:rPr>
          <w:rFonts w:ascii="Times New Roman" w:eastAsia="Times New Roman" w:hAnsi="Times New Roman" w:cs="Times New Roman"/>
          <w:b/>
          <w:bCs/>
          <w:kern w:val="0"/>
          <w:sz w:val="30"/>
          <w:szCs w:val="30"/>
          <w:lang w:val="en-GB"/>
          <w14:ligatures w14:val="none"/>
        </w:rPr>
      </w:pPr>
      <w:r w:rsidRPr="00686040">
        <w:rPr>
          <w:rFonts w:ascii="Times New Roman" w:eastAsia="Times New Roman" w:hAnsi="Times New Roman" w:cs="Times New Roman"/>
          <w:b/>
          <w:bCs/>
          <w:kern w:val="0"/>
          <w:sz w:val="30"/>
          <w:szCs w:val="30"/>
          <w:lang w:val="en-GB"/>
          <w14:ligatures w14:val="none"/>
        </w:rPr>
        <w:t>Concept Note</w:t>
      </w:r>
    </w:p>
    <w:p w14:paraId="0A124ED0" w14:textId="1D034114" w:rsidR="009D075B" w:rsidRPr="00686040" w:rsidRDefault="009D075B" w:rsidP="009D075B">
      <w:pPr>
        <w:spacing w:after="0" w:line="240" w:lineRule="auto"/>
        <w:jc w:val="center"/>
        <w:rPr>
          <w:rFonts w:ascii="Times New Roman" w:eastAsia="Times New Roman" w:hAnsi="Times New Roman" w:cs="Times New Roman"/>
          <w:b/>
          <w:bCs/>
          <w:kern w:val="0"/>
          <w:sz w:val="30"/>
          <w:szCs w:val="30"/>
          <w:lang w:val="en-GB"/>
          <w14:ligatures w14:val="none"/>
        </w:rPr>
      </w:pPr>
      <w:r w:rsidRPr="00686040">
        <w:rPr>
          <w:rFonts w:ascii="Times New Roman" w:eastAsia="Times New Roman" w:hAnsi="Times New Roman" w:cs="Times New Roman"/>
          <w:b/>
          <w:bCs/>
          <w:kern w:val="0"/>
          <w:sz w:val="30"/>
          <w:szCs w:val="30"/>
          <w:lang w:val="en-GB"/>
          <w14:ligatures w14:val="none"/>
        </w:rPr>
        <w:t>“Human Rights Research in Armenia: Current and Emerging Issues”</w:t>
      </w:r>
    </w:p>
    <w:p w14:paraId="27A8DA62" w14:textId="5D49FE90" w:rsidR="009D075B" w:rsidRPr="00686040" w:rsidRDefault="00DC1A5D" w:rsidP="009D075B">
      <w:pPr>
        <w:spacing w:after="0" w:line="240" w:lineRule="auto"/>
        <w:jc w:val="center"/>
        <w:rPr>
          <w:rFonts w:ascii="Times New Roman" w:eastAsia="Times New Roman" w:hAnsi="Times New Roman" w:cs="Times New Roman"/>
          <w:i/>
          <w:iCs/>
          <w:kern w:val="0"/>
          <w:sz w:val="24"/>
          <w:szCs w:val="24"/>
          <w:lang w:val="en-GB"/>
          <w14:ligatures w14:val="none"/>
        </w:rPr>
      </w:pPr>
      <w:r w:rsidRPr="00686040">
        <w:rPr>
          <w:rFonts w:ascii="Times New Roman" w:eastAsia="Times New Roman" w:hAnsi="Times New Roman" w:cs="Times New Roman"/>
          <w:i/>
          <w:iCs/>
          <w:kern w:val="0"/>
          <w:sz w:val="24"/>
          <w:szCs w:val="24"/>
          <w:lang w:val="en-GB"/>
          <w14:ligatures w14:val="none"/>
        </w:rPr>
        <w:t>4</w:t>
      </w:r>
      <w:r w:rsidRPr="00686040">
        <w:rPr>
          <w:rFonts w:ascii="Times New Roman" w:eastAsia="Times New Roman" w:hAnsi="Times New Roman" w:cs="Times New Roman"/>
          <w:i/>
          <w:iCs/>
          <w:kern w:val="0"/>
          <w:sz w:val="24"/>
          <w:szCs w:val="24"/>
          <w:vertAlign w:val="superscript"/>
          <w:lang w:val="en-GB"/>
          <w14:ligatures w14:val="none"/>
        </w:rPr>
        <w:t>th</w:t>
      </w:r>
      <w:r w:rsidRPr="00686040">
        <w:rPr>
          <w:rFonts w:ascii="Times New Roman" w:eastAsia="Times New Roman" w:hAnsi="Times New Roman" w:cs="Times New Roman"/>
          <w:i/>
          <w:iCs/>
          <w:kern w:val="0"/>
          <w:sz w:val="24"/>
          <w:szCs w:val="24"/>
          <w:lang w:val="en-GB"/>
          <w14:ligatures w14:val="none"/>
        </w:rPr>
        <w:t xml:space="preserve"> </w:t>
      </w:r>
      <w:r w:rsidR="009D075B" w:rsidRPr="00686040">
        <w:rPr>
          <w:rFonts w:ascii="Times New Roman" w:eastAsia="Times New Roman" w:hAnsi="Times New Roman" w:cs="Times New Roman"/>
          <w:i/>
          <w:iCs/>
          <w:kern w:val="0"/>
          <w:sz w:val="24"/>
          <w:szCs w:val="24"/>
          <w:lang w:val="en-GB"/>
          <w14:ligatures w14:val="none"/>
        </w:rPr>
        <w:t>International Conference organi</w:t>
      </w:r>
      <w:r w:rsidRPr="00686040">
        <w:rPr>
          <w:rFonts w:ascii="Times New Roman" w:eastAsia="Times New Roman" w:hAnsi="Times New Roman" w:cs="Times New Roman"/>
          <w:i/>
          <w:iCs/>
          <w:kern w:val="0"/>
          <w:sz w:val="24"/>
          <w:szCs w:val="24"/>
          <w:lang w:val="en-GB"/>
          <w14:ligatures w14:val="none"/>
        </w:rPr>
        <w:t>s</w:t>
      </w:r>
      <w:r w:rsidR="009D075B" w:rsidRPr="00686040">
        <w:rPr>
          <w:rFonts w:ascii="Times New Roman" w:eastAsia="Times New Roman" w:hAnsi="Times New Roman" w:cs="Times New Roman"/>
          <w:i/>
          <w:iCs/>
          <w:kern w:val="0"/>
          <w:sz w:val="24"/>
          <w:szCs w:val="24"/>
          <w:lang w:val="en-GB"/>
          <w14:ligatures w14:val="none"/>
        </w:rPr>
        <w:t>ed by the Raoul Wallenberg Institute of Human Rights and Humanitarian Law</w:t>
      </w:r>
      <w:r w:rsidR="008B5166" w:rsidRPr="00686040">
        <w:rPr>
          <w:rFonts w:ascii="Times New Roman" w:eastAsia="Times New Roman" w:hAnsi="Times New Roman" w:cs="Times New Roman"/>
          <w:i/>
          <w:iCs/>
          <w:kern w:val="0"/>
          <w:sz w:val="24"/>
          <w:szCs w:val="24"/>
          <w:lang w:val="en-GB"/>
          <w14:ligatures w14:val="none"/>
        </w:rPr>
        <w:t>,</w:t>
      </w:r>
      <w:r w:rsidR="009D075B" w:rsidRPr="00686040">
        <w:rPr>
          <w:rFonts w:ascii="Times New Roman" w:eastAsia="Times New Roman" w:hAnsi="Times New Roman" w:cs="Times New Roman"/>
          <w:i/>
          <w:iCs/>
          <w:kern w:val="0"/>
          <w:sz w:val="24"/>
          <w:szCs w:val="24"/>
          <w:lang w:val="en-GB"/>
          <w14:ligatures w14:val="none"/>
        </w:rPr>
        <w:t xml:space="preserve"> in Yerevan, </w:t>
      </w:r>
      <w:r w:rsidR="00F5543A" w:rsidRPr="00686040">
        <w:rPr>
          <w:rFonts w:ascii="Times New Roman" w:eastAsia="Times New Roman" w:hAnsi="Times New Roman" w:cs="Times New Roman"/>
          <w:i/>
          <w:iCs/>
          <w:kern w:val="0"/>
          <w:sz w:val="24"/>
          <w:szCs w:val="24"/>
          <w:lang w:val="en-GB"/>
          <w14:ligatures w14:val="none"/>
        </w:rPr>
        <w:t xml:space="preserve">November </w:t>
      </w:r>
      <w:r w:rsidR="00147922" w:rsidRPr="00686040">
        <w:rPr>
          <w:rFonts w:ascii="Times New Roman" w:eastAsia="Times New Roman" w:hAnsi="Times New Roman" w:cs="Times New Roman"/>
          <w:i/>
          <w:iCs/>
          <w:kern w:val="0"/>
          <w:sz w:val="24"/>
          <w:szCs w:val="24"/>
          <w:lang w:val="en-GB"/>
          <w14:ligatures w14:val="none"/>
        </w:rPr>
        <w:t>13</w:t>
      </w:r>
      <w:r w:rsidR="00F5543A" w:rsidRPr="00686040">
        <w:rPr>
          <w:rFonts w:ascii="Times New Roman" w:eastAsia="Times New Roman" w:hAnsi="Times New Roman" w:cs="Times New Roman"/>
          <w:i/>
          <w:iCs/>
          <w:kern w:val="0"/>
          <w:sz w:val="24"/>
          <w:szCs w:val="24"/>
          <w:lang w:val="en-GB"/>
          <w14:ligatures w14:val="none"/>
        </w:rPr>
        <w:t>-</w:t>
      </w:r>
      <w:r w:rsidR="00147922" w:rsidRPr="00686040">
        <w:rPr>
          <w:rFonts w:ascii="Times New Roman" w:eastAsia="Times New Roman" w:hAnsi="Times New Roman" w:cs="Times New Roman"/>
          <w:i/>
          <w:iCs/>
          <w:kern w:val="0"/>
          <w:sz w:val="24"/>
          <w:szCs w:val="24"/>
          <w:lang w:val="en-GB"/>
          <w14:ligatures w14:val="none"/>
        </w:rPr>
        <w:t>14</w:t>
      </w:r>
      <w:r w:rsidR="00F5543A" w:rsidRPr="00686040">
        <w:rPr>
          <w:rFonts w:ascii="Times New Roman" w:eastAsia="Times New Roman" w:hAnsi="Times New Roman" w:cs="Times New Roman"/>
          <w:i/>
          <w:iCs/>
          <w:kern w:val="0"/>
          <w:sz w:val="24"/>
          <w:szCs w:val="24"/>
          <w:lang w:val="en-GB"/>
          <w14:ligatures w14:val="none"/>
        </w:rPr>
        <w:t xml:space="preserve">, </w:t>
      </w:r>
      <w:proofErr w:type="gramStart"/>
      <w:r w:rsidR="00F5543A" w:rsidRPr="00686040">
        <w:rPr>
          <w:rFonts w:ascii="Times New Roman" w:eastAsia="Times New Roman" w:hAnsi="Times New Roman" w:cs="Times New Roman"/>
          <w:i/>
          <w:iCs/>
          <w:kern w:val="0"/>
          <w:sz w:val="24"/>
          <w:szCs w:val="24"/>
          <w:lang w:val="en-GB"/>
          <w14:ligatures w14:val="none"/>
        </w:rPr>
        <w:t>202</w:t>
      </w:r>
      <w:r w:rsidRPr="00686040">
        <w:rPr>
          <w:rFonts w:ascii="Times New Roman" w:eastAsia="Times New Roman" w:hAnsi="Times New Roman" w:cs="Times New Roman"/>
          <w:i/>
          <w:iCs/>
          <w:kern w:val="0"/>
          <w:sz w:val="24"/>
          <w:szCs w:val="24"/>
          <w:lang w:val="en-GB"/>
          <w14:ligatures w14:val="none"/>
        </w:rPr>
        <w:t>6</w:t>
      </w:r>
      <w:proofErr w:type="gramEnd"/>
    </w:p>
    <w:p w14:paraId="66683153" w14:textId="77777777" w:rsidR="009D075B" w:rsidRPr="00686040" w:rsidRDefault="009D075B" w:rsidP="006235CD">
      <w:pPr>
        <w:spacing w:after="0" w:line="240" w:lineRule="auto"/>
        <w:rPr>
          <w:rFonts w:ascii="Times New Roman" w:eastAsia="Times New Roman" w:hAnsi="Times New Roman" w:cs="Times New Roman"/>
          <w:b/>
          <w:bCs/>
          <w:kern w:val="0"/>
          <w:sz w:val="24"/>
          <w:szCs w:val="24"/>
          <w:lang w:val="en-GB"/>
          <w14:ligatures w14:val="none"/>
        </w:rPr>
      </w:pPr>
    </w:p>
    <w:p w14:paraId="5C42BB7B" w14:textId="78ABBE1E" w:rsidR="009D075B" w:rsidRPr="00686040" w:rsidRDefault="009D075B" w:rsidP="006A2EC6">
      <w:pPr>
        <w:spacing w:before="100" w:beforeAutospacing="1" w:after="100" w:afterAutospacing="1" w:line="240" w:lineRule="auto"/>
        <w:outlineLvl w:val="3"/>
        <w:rPr>
          <w:rFonts w:ascii="Times New Roman" w:hAnsi="Times New Roman" w:cs="Times New Roman"/>
          <w:i/>
          <w:iCs/>
          <w:lang w:val="en-GB"/>
        </w:rPr>
      </w:pPr>
      <w:r w:rsidRPr="00686040">
        <w:rPr>
          <w:rFonts w:ascii="Times New Roman" w:hAnsi="Times New Roman" w:cs="Times New Roman"/>
          <w:i/>
          <w:iCs/>
          <w:lang w:val="en-GB"/>
        </w:rPr>
        <w:t xml:space="preserve">The Raoul Wallenberg Institute of Human Rights and Humanitarian Law (hereinafter “RWI”), Lund, Sweden is pleased to announce the </w:t>
      </w:r>
      <w:r w:rsidR="00DC1A5D" w:rsidRPr="00686040">
        <w:rPr>
          <w:rFonts w:ascii="Times New Roman" w:hAnsi="Times New Roman" w:cs="Times New Roman"/>
          <w:i/>
          <w:iCs/>
          <w:lang w:val="en-GB"/>
        </w:rPr>
        <w:t>fourth</w:t>
      </w:r>
      <w:r w:rsidRPr="00686040">
        <w:rPr>
          <w:rFonts w:ascii="Times New Roman" w:hAnsi="Times New Roman" w:cs="Times New Roman"/>
          <w:i/>
          <w:iCs/>
          <w:lang w:val="en-GB"/>
        </w:rPr>
        <w:t xml:space="preserve"> international conference "Human Rights Research in Armenia: Current and Emerging Issues", to be organi</w:t>
      </w:r>
      <w:r w:rsidR="00DC1A5D" w:rsidRPr="00686040">
        <w:rPr>
          <w:rFonts w:ascii="Times New Roman" w:hAnsi="Times New Roman" w:cs="Times New Roman"/>
          <w:i/>
          <w:iCs/>
          <w:lang w:val="en-GB"/>
        </w:rPr>
        <w:t>s</w:t>
      </w:r>
      <w:r w:rsidRPr="00686040">
        <w:rPr>
          <w:rFonts w:ascii="Times New Roman" w:hAnsi="Times New Roman" w:cs="Times New Roman"/>
          <w:i/>
          <w:iCs/>
          <w:lang w:val="en-GB"/>
        </w:rPr>
        <w:t xml:space="preserve">ed </w:t>
      </w:r>
      <w:r w:rsidR="00F5543A" w:rsidRPr="00686040">
        <w:rPr>
          <w:rFonts w:ascii="Times New Roman" w:hAnsi="Times New Roman" w:cs="Times New Roman"/>
          <w:i/>
          <w:iCs/>
          <w:lang w:val="en-GB"/>
        </w:rPr>
        <w:t xml:space="preserve">in Yerevan, November </w:t>
      </w:r>
      <w:r w:rsidR="00147922" w:rsidRPr="00686040">
        <w:rPr>
          <w:rFonts w:ascii="Times New Roman" w:hAnsi="Times New Roman" w:cs="Times New Roman"/>
          <w:i/>
          <w:iCs/>
          <w:lang w:val="en-GB"/>
        </w:rPr>
        <w:t>13</w:t>
      </w:r>
      <w:r w:rsidR="00F5543A" w:rsidRPr="00686040">
        <w:rPr>
          <w:rFonts w:ascii="Times New Roman" w:hAnsi="Times New Roman" w:cs="Times New Roman"/>
          <w:i/>
          <w:iCs/>
          <w:lang w:val="en-GB"/>
        </w:rPr>
        <w:t>-</w:t>
      </w:r>
      <w:r w:rsidR="00147922" w:rsidRPr="00686040">
        <w:rPr>
          <w:rFonts w:ascii="Times New Roman" w:hAnsi="Times New Roman" w:cs="Times New Roman"/>
          <w:i/>
          <w:iCs/>
          <w:lang w:val="en-GB"/>
        </w:rPr>
        <w:t>14</w:t>
      </w:r>
      <w:r w:rsidR="00F5543A" w:rsidRPr="00686040">
        <w:rPr>
          <w:rFonts w:ascii="Times New Roman" w:hAnsi="Times New Roman" w:cs="Times New Roman"/>
          <w:i/>
          <w:iCs/>
          <w:lang w:val="en-GB"/>
        </w:rPr>
        <w:t>, 202</w:t>
      </w:r>
      <w:r w:rsidR="00DC1A5D" w:rsidRPr="00686040">
        <w:rPr>
          <w:rFonts w:ascii="Times New Roman" w:hAnsi="Times New Roman" w:cs="Times New Roman"/>
          <w:i/>
          <w:iCs/>
          <w:lang w:val="en-GB"/>
        </w:rPr>
        <w:t>6</w:t>
      </w:r>
      <w:r w:rsidRPr="00686040">
        <w:rPr>
          <w:rFonts w:ascii="Times New Roman" w:hAnsi="Times New Roman" w:cs="Times New Roman"/>
          <w:i/>
          <w:iCs/>
          <w:lang w:val="en-GB"/>
        </w:rPr>
        <w:t xml:space="preserve">. </w:t>
      </w:r>
      <w:r w:rsidR="00DC1A5D" w:rsidRPr="00686040">
        <w:rPr>
          <w:rFonts w:ascii="Times New Roman" w:hAnsi="Times New Roman" w:cs="Times New Roman"/>
          <w:i/>
          <w:iCs/>
          <w:lang w:val="en-GB"/>
        </w:rPr>
        <w:t>Building on previous editions, the 2026 conference continues to serve as a platform for dialogue between academia, civil society, practitioners, and policymakers.</w:t>
      </w:r>
    </w:p>
    <w:p w14:paraId="02D34A2E" w14:textId="7BA633F6" w:rsidR="009D075B" w:rsidRPr="00686040" w:rsidRDefault="6D34A36F" w:rsidP="6D34A36F">
      <w:pPr>
        <w:spacing w:before="100" w:beforeAutospacing="1" w:after="100" w:afterAutospacing="1" w:line="240" w:lineRule="auto"/>
        <w:outlineLvl w:val="3"/>
        <w:rPr>
          <w:rFonts w:ascii="Times New Roman" w:hAnsi="Times New Roman" w:cs="Times New Roman"/>
          <w:i/>
          <w:iCs/>
          <w:lang w:val="en-GB"/>
        </w:rPr>
      </w:pPr>
      <w:r w:rsidRPr="6D34A36F">
        <w:rPr>
          <w:rFonts w:ascii="Times New Roman" w:hAnsi="Times New Roman" w:cs="Times New Roman"/>
          <w:i/>
          <w:iCs/>
          <w:lang w:val="en-GB"/>
        </w:rPr>
        <w:t xml:space="preserve">The Conference aims to provide a platform for participants to explore current and emerging human rights issues in Armenia. We invite contributions from scholars, students, CSO representatives, and practitioners, including international development partners, and encourage contributions willing to cross boundaries and build bridges between academic disciplines, as well as between theory and practice. </w:t>
      </w:r>
    </w:p>
    <w:p w14:paraId="55DE0A02" w14:textId="084C9FB0" w:rsidR="009D075B" w:rsidRPr="00686040" w:rsidRDefault="372C8F5C" w:rsidP="372C8F5C">
      <w:pPr>
        <w:spacing w:before="100" w:beforeAutospacing="1" w:after="100" w:afterAutospacing="1" w:line="240" w:lineRule="auto"/>
        <w:outlineLvl w:val="3"/>
        <w:rPr>
          <w:rFonts w:ascii="Times New Roman" w:eastAsia="Times New Roman" w:hAnsi="Times New Roman" w:cs="Times New Roman"/>
          <w:b/>
          <w:bCs/>
          <w:i/>
          <w:iCs/>
          <w:kern w:val="0"/>
          <w:sz w:val="24"/>
          <w:szCs w:val="24"/>
          <w:lang w:val="en-GB"/>
          <w14:ligatures w14:val="none"/>
        </w:rPr>
      </w:pPr>
      <w:r w:rsidRPr="372C8F5C">
        <w:rPr>
          <w:rFonts w:ascii="Times New Roman" w:hAnsi="Times New Roman" w:cs="Times New Roman"/>
          <w:i/>
          <w:iCs/>
          <w:lang w:val="en-GB"/>
        </w:rPr>
        <w:t xml:space="preserve">The Conference forms part of RWI’s Armenia Programme 2022-27 to support the production of high-quality human rights research in Armenia and to generate opportunities for cross-sectoral cooperation </w:t>
      </w:r>
      <w:proofErr w:type="gramStart"/>
      <w:r w:rsidRPr="372C8F5C">
        <w:rPr>
          <w:rFonts w:ascii="Times New Roman" w:hAnsi="Times New Roman" w:cs="Times New Roman"/>
          <w:i/>
          <w:iCs/>
          <w:lang w:val="en-GB"/>
        </w:rPr>
        <w:t>in the area of</w:t>
      </w:r>
      <w:proofErr w:type="gramEnd"/>
      <w:r w:rsidRPr="372C8F5C">
        <w:rPr>
          <w:rFonts w:ascii="Times New Roman" w:hAnsi="Times New Roman" w:cs="Times New Roman"/>
          <w:i/>
          <w:iCs/>
          <w:lang w:val="en-GB"/>
        </w:rPr>
        <w:t xml:space="preserve"> human rights research. Selected participants in the conference will be offered the opportunity to receive continued support during 2027 to develop their research further through a fellowship opportunity. You may find more information on both opportunities below. </w:t>
      </w:r>
    </w:p>
    <w:p w14:paraId="6779A974" w14:textId="7E09BA1C" w:rsidR="006A2EC6" w:rsidRPr="00686040" w:rsidRDefault="006A2EC6" w:rsidP="372C8F5C">
      <w:pPr>
        <w:spacing w:before="100" w:beforeAutospacing="1" w:after="100" w:afterAutospacing="1" w:line="240" w:lineRule="auto"/>
        <w:outlineLvl w:val="3"/>
        <w:rPr>
          <w:rFonts w:ascii="Times New Roman" w:eastAsia="Times New Roman" w:hAnsi="Times New Roman" w:cs="Times New Roman"/>
          <w:b/>
          <w:bCs/>
          <w:color w:val="0F4761" w:themeColor="accent1" w:themeShade="BF"/>
          <w:kern w:val="0"/>
          <w:sz w:val="28"/>
          <w:szCs w:val="28"/>
          <w:lang w:val="en-GB"/>
          <w14:ligatures w14:val="none"/>
        </w:rPr>
      </w:pPr>
      <w:r w:rsidRPr="372C8F5C">
        <w:rPr>
          <w:rFonts w:ascii="Times New Roman" w:eastAsia="Times New Roman" w:hAnsi="Times New Roman" w:cs="Times New Roman"/>
          <w:b/>
          <w:bCs/>
          <w:color w:val="0F4761" w:themeColor="accent1" w:themeShade="BF"/>
          <w:kern w:val="0"/>
          <w:sz w:val="28"/>
          <w:szCs w:val="28"/>
          <w:lang w:val="en-GB"/>
          <w14:ligatures w14:val="none"/>
        </w:rPr>
        <w:t>Background:</w:t>
      </w:r>
    </w:p>
    <w:p w14:paraId="1F9C3FC5" w14:textId="045E9B86" w:rsidR="00DC1A5D" w:rsidRPr="00686040" w:rsidRDefault="00DC1A5D" w:rsidP="006A2EC6">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Armenia continues to face complex and evolving human rights challenges shaped by institutional constraints, regional dynamics, and socio-economic inequalities. At the same time, ongoing reforms</w:t>
      </w:r>
      <w:r w:rsidR="006B51E0">
        <w:rPr>
          <w:rFonts w:ascii="Times New Roman" w:eastAsia="Times New Roman" w:hAnsi="Times New Roman" w:cs="Times New Roman"/>
          <w:kern w:val="0"/>
          <w:lang w:val="en-GB"/>
          <w14:ligatures w14:val="none"/>
        </w:rPr>
        <w:t xml:space="preserve"> –</w:t>
      </w:r>
      <w:r w:rsidRPr="00686040">
        <w:rPr>
          <w:rFonts w:ascii="Times New Roman" w:eastAsia="Times New Roman" w:hAnsi="Times New Roman" w:cs="Times New Roman"/>
          <w:kern w:val="0"/>
          <w:lang w:val="en-GB"/>
          <w14:ligatures w14:val="none"/>
        </w:rPr>
        <w:t>particularly in justice, governance, environmental policy, and human rights education</w:t>
      </w:r>
      <w:r w:rsidR="006B51E0">
        <w:rPr>
          <w:rFonts w:ascii="Times New Roman" w:eastAsia="Times New Roman" w:hAnsi="Times New Roman" w:cs="Times New Roman"/>
          <w:kern w:val="0"/>
          <w:lang w:val="en-GB"/>
          <w14:ligatures w14:val="none"/>
        </w:rPr>
        <w:t xml:space="preserve"> – </w:t>
      </w:r>
      <w:r w:rsidRPr="00686040">
        <w:rPr>
          <w:rFonts w:ascii="Times New Roman" w:eastAsia="Times New Roman" w:hAnsi="Times New Roman" w:cs="Times New Roman"/>
          <w:kern w:val="0"/>
          <w:lang w:val="en-GB"/>
          <w14:ligatures w14:val="none"/>
        </w:rPr>
        <w:t>create opportunities to strengthen the application of international human rights standards in practice.</w:t>
      </w:r>
    </w:p>
    <w:p w14:paraId="43844C87" w14:textId="77777777" w:rsidR="00DC1A5D" w:rsidRPr="00686040" w:rsidRDefault="00DC1A5D" w:rsidP="2DDCF952">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The conference is situated within RWI’s broader programme, which aims to support state institutions, academia, and civil society in integrating human rights into policy, education, and institutional practice. A key priority moving forward is bridging the gap between theory and practice, ensuring that research informs policy and that practitioners contribute to knowledge production.</w:t>
      </w:r>
    </w:p>
    <w:p w14:paraId="50DE56AB" w14:textId="61268915" w:rsidR="006A2EC6" w:rsidRPr="00686040" w:rsidRDefault="006A2EC6" w:rsidP="2DDCF952">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 xml:space="preserve">This year, the conference will </w:t>
      </w:r>
      <w:r w:rsidR="00DC1A5D" w:rsidRPr="00686040">
        <w:rPr>
          <w:rFonts w:ascii="Times New Roman" w:eastAsia="Times New Roman" w:hAnsi="Times New Roman" w:cs="Times New Roman"/>
          <w:kern w:val="0"/>
          <w:lang w:val="en-GB"/>
          <w14:ligatures w14:val="none"/>
        </w:rPr>
        <w:t>continue to</w:t>
      </w:r>
      <w:r w:rsidRPr="00686040">
        <w:rPr>
          <w:rFonts w:ascii="Times New Roman" w:eastAsia="Times New Roman" w:hAnsi="Times New Roman" w:cs="Times New Roman"/>
          <w:kern w:val="0"/>
          <w:lang w:val="en-GB"/>
          <w14:ligatures w14:val="none"/>
        </w:rPr>
        <w:t xml:space="preserve"> invite international participants who have research topics or focus areas related to Armenia, expanding the dialogue beyond the country’s borders. Additionally, the </w:t>
      </w:r>
      <w:r w:rsidR="00F5543A" w:rsidRPr="00686040">
        <w:rPr>
          <w:rFonts w:ascii="Times New Roman" w:eastAsia="Times New Roman" w:hAnsi="Times New Roman" w:cs="Times New Roman"/>
          <w:kern w:val="0"/>
          <w:lang w:val="en-GB"/>
          <w14:ligatures w14:val="none"/>
        </w:rPr>
        <w:t>202</w:t>
      </w:r>
      <w:r w:rsidR="00DC1A5D" w:rsidRPr="00686040">
        <w:rPr>
          <w:rFonts w:ascii="Times New Roman" w:eastAsia="Times New Roman" w:hAnsi="Times New Roman" w:cs="Times New Roman"/>
          <w:kern w:val="0"/>
          <w:lang w:val="en-GB"/>
          <w14:ligatures w14:val="none"/>
        </w:rPr>
        <w:t>6</w:t>
      </w:r>
      <w:r w:rsidR="00F5543A" w:rsidRPr="00686040">
        <w:rPr>
          <w:rFonts w:ascii="Times New Roman" w:eastAsia="Times New Roman" w:hAnsi="Times New Roman" w:cs="Times New Roman"/>
          <w:kern w:val="0"/>
          <w:lang w:val="en-GB"/>
          <w14:ligatures w14:val="none"/>
        </w:rPr>
        <w:t xml:space="preserve"> </w:t>
      </w:r>
      <w:r w:rsidRPr="00686040">
        <w:rPr>
          <w:rFonts w:ascii="Times New Roman" w:eastAsia="Times New Roman" w:hAnsi="Times New Roman" w:cs="Times New Roman"/>
          <w:kern w:val="0"/>
          <w:lang w:val="en-GB"/>
          <w14:ligatures w14:val="none"/>
        </w:rPr>
        <w:t>conference will feature high-level plenary discussions and panels, including representatives from Armenian government agencies, international development partners, and civil society organi</w:t>
      </w:r>
      <w:r w:rsidR="00DC1A5D" w:rsidRPr="00686040">
        <w:rPr>
          <w:rFonts w:ascii="Times New Roman" w:eastAsia="Times New Roman" w:hAnsi="Times New Roman" w:cs="Times New Roman"/>
          <w:kern w:val="0"/>
          <w:lang w:val="en-GB"/>
          <w14:ligatures w14:val="none"/>
        </w:rPr>
        <w:t>s</w:t>
      </w:r>
      <w:r w:rsidRPr="00686040">
        <w:rPr>
          <w:rFonts w:ascii="Times New Roman" w:eastAsia="Times New Roman" w:hAnsi="Times New Roman" w:cs="Times New Roman"/>
          <w:kern w:val="0"/>
          <w:lang w:val="en-GB"/>
          <w14:ligatures w14:val="none"/>
        </w:rPr>
        <w:t>ations, encouraging a comprehensive multi-stakeholder approach to human rights.</w:t>
      </w:r>
    </w:p>
    <w:p w14:paraId="316A8535" w14:textId="77777777" w:rsidR="006A2EC6" w:rsidRPr="00686040" w:rsidRDefault="006A2EC6" w:rsidP="372C8F5C">
      <w:pPr>
        <w:spacing w:before="100" w:beforeAutospacing="1" w:after="100" w:afterAutospacing="1" w:line="240" w:lineRule="auto"/>
        <w:outlineLvl w:val="3"/>
        <w:rPr>
          <w:rFonts w:ascii="Times New Roman" w:eastAsia="Times New Roman" w:hAnsi="Times New Roman" w:cs="Times New Roman"/>
          <w:b/>
          <w:bCs/>
          <w:color w:val="0F4761" w:themeColor="accent1" w:themeShade="BF"/>
          <w:kern w:val="0"/>
          <w:sz w:val="28"/>
          <w:szCs w:val="28"/>
          <w:lang w:val="en-GB"/>
          <w14:ligatures w14:val="none"/>
        </w:rPr>
      </w:pPr>
      <w:r w:rsidRPr="372C8F5C">
        <w:rPr>
          <w:rFonts w:ascii="Times New Roman" w:eastAsia="Times New Roman" w:hAnsi="Times New Roman" w:cs="Times New Roman"/>
          <w:b/>
          <w:bCs/>
          <w:color w:val="0F4761" w:themeColor="accent1" w:themeShade="BF"/>
          <w:kern w:val="0"/>
          <w:sz w:val="28"/>
          <w:szCs w:val="28"/>
          <w:lang w:val="en-GB"/>
          <w14:ligatures w14:val="none"/>
        </w:rPr>
        <w:t>Objectives:</w:t>
      </w:r>
    </w:p>
    <w:p w14:paraId="5E8520F6" w14:textId="51A9B321" w:rsidR="006A2EC6" w:rsidRPr="00686040" w:rsidRDefault="006A2EC6" w:rsidP="006A2EC6">
      <w:pPr>
        <w:numPr>
          <w:ilvl w:val="0"/>
          <w:numId w:val="6"/>
        </w:num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b/>
          <w:bCs/>
          <w:kern w:val="0"/>
          <w:lang w:val="en-GB"/>
          <w14:ligatures w14:val="none"/>
        </w:rPr>
        <w:t>Facilitate Multi-Sectoral Dialogue:</w:t>
      </w:r>
      <w:r w:rsidRPr="00686040">
        <w:rPr>
          <w:rFonts w:ascii="Times New Roman" w:eastAsia="Times New Roman" w:hAnsi="Times New Roman" w:cs="Times New Roman"/>
          <w:kern w:val="0"/>
          <w:lang w:val="en-GB"/>
          <w14:ligatures w14:val="none"/>
        </w:rPr>
        <w:t xml:space="preserve"> Engage scholars, civil society, government representatives, and international organi</w:t>
      </w:r>
      <w:r w:rsidR="00DC1A5D" w:rsidRPr="00686040">
        <w:rPr>
          <w:rFonts w:ascii="Times New Roman" w:eastAsia="Times New Roman" w:hAnsi="Times New Roman" w:cs="Times New Roman"/>
          <w:kern w:val="0"/>
          <w:lang w:val="en-GB"/>
          <w14:ligatures w14:val="none"/>
        </w:rPr>
        <w:t>s</w:t>
      </w:r>
      <w:r w:rsidRPr="00686040">
        <w:rPr>
          <w:rFonts w:ascii="Times New Roman" w:eastAsia="Times New Roman" w:hAnsi="Times New Roman" w:cs="Times New Roman"/>
          <w:kern w:val="0"/>
          <w:lang w:val="en-GB"/>
          <w14:ligatures w14:val="none"/>
        </w:rPr>
        <w:t>ations in productive dialogues surrounding Armenia’s pressing human rights issues.</w:t>
      </w:r>
    </w:p>
    <w:p w14:paraId="344E6DFC" w14:textId="08386B8E" w:rsidR="006A2EC6" w:rsidRPr="00686040" w:rsidRDefault="006A2EC6" w:rsidP="006A2EC6">
      <w:pPr>
        <w:numPr>
          <w:ilvl w:val="0"/>
          <w:numId w:val="6"/>
        </w:num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b/>
          <w:bCs/>
          <w:kern w:val="0"/>
          <w:lang w:val="en-GB"/>
          <w14:ligatures w14:val="none"/>
        </w:rPr>
        <w:lastRenderedPageBreak/>
        <w:t>Develop Solutions to Emerging Challenges:</w:t>
      </w:r>
      <w:r w:rsidRPr="00686040">
        <w:rPr>
          <w:rFonts w:ascii="Times New Roman" w:eastAsia="Times New Roman" w:hAnsi="Times New Roman" w:cs="Times New Roman"/>
          <w:kern w:val="0"/>
          <w:lang w:val="en-GB"/>
          <w14:ligatures w14:val="none"/>
        </w:rPr>
        <w:t xml:space="preserve"> Discuss practical and policy-driven solutions to critical issues such as human rights in conflict resolution, environmental justice, access to education for marginali</w:t>
      </w:r>
      <w:r w:rsidR="00DC1A5D" w:rsidRPr="00686040">
        <w:rPr>
          <w:rFonts w:ascii="Times New Roman" w:eastAsia="Times New Roman" w:hAnsi="Times New Roman" w:cs="Times New Roman"/>
          <w:kern w:val="0"/>
          <w:lang w:val="en-GB"/>
          <w14:ligatures w14:val="none"/>
        </w:rPr>
        <w:t>s</w:t>
      </w:r>
      <w:r w:rsidRPr="00686040">
        <w:rPr>
          <w:rFonts w:ascii="Times New Roman" w:eastAsia="Times New Roman" w:hAnsi="Times New Roman" w:cs="Times New Roman"/>
          <w:kern w:val="0"/>
          <w:lang w:val="en-GB"/>
          <w14:ligatures w14:val="none"/>
        </w:rPr>
        <w:t>ed communities, and gender equality.</w:t>
      </w:r>
    </w:p>
    <w:p w14:paraId="3FDE369C" w14:textId="77777777" w:rsidR="006A2EC6" w:rsidRPr="00686040" w:rsidRDefault="006A2EC6" w:rsidP="006A2EC6">
      <w:pPr>
        <w:numPr>
          <w:ilvl w:val="0"/>
          <w:numId w:val="6"/>
        </w:num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b/>
          <w:bCs/>
          <w:kern w:val="0"/>
          <w:lang w:val="en-GB"/>
          <w14:ligatures w14:val="none"/>
        </w:rPr>
        <w:t>Strengthen Armenia's Human Rights Framework:</w:t>
      </w:r>
      <w:r w:rsidRPr="00686040">
        <w:rPr>
          <w:rFonts w:ascii="Times New Roman" w:eastAsia="Times New Roman" w:hAnsi="Times New Roman" w:cs="Times New Roman"/>
          <w:kern w:val="0"/>
          <w:lang w:val="en-GB"/>
          <w14:ligatures w14:val="none"/>
        </w:rPr>
        <w:t xml:space="preserve"> Contribute to the strengthening of Armenia’s institutional and legal frameworks for the protection of human rights, informed by research and best practices.</w:t>
      </w:r>
    </w:p>
    <w:p w14:paraId="4AE1E540" w14:textId="77777777" w:rsidR="006A2EC6" w:rsidRPr="00686040" w:rsidRDefault="006A2EC6" w:rsidP="006A2EC6">
      <w:pPr>
        <w:numPr>
          <w:ilvl w:val="0"/>
          <w:numId w:val="6"/>
        </w:num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b/>
          <w:bCs/>
          <w:kern w:val="0"/>
          <w:lang w:val="en-GB"/>
          <w14:ligatures w14:val="none"/>
        </w:rPr>
        <w:t>Promote Cross-Border Collaboration:</w:t>
      </w:r>
      <w:r w:rsidRPr="00686040">
        <w:rPr>
          <w:rFonts w:ascii="Times New Roman" w:eastAsia="Times New Roman" w:hAnsi="Times New Roman" w:cs="Times New Roman"/>
          <w:kern w:val="0"/>
          <w:lang w:val="en-GB"/>
          <w14:ligatures w14:val="none"/>
        </w:rPr>
        <w:t xml:space="preserve"> Foster opportunities for Armenian and international participants to share knowledge, learn from each other, and collaborate on future research and initiatives.</w:t>
      </w:r>
    </w:p>
    <w:p w14:paraId="7939436D" w14:textId="12FC6495" w:rsidR="00DC1A5D" w:rsidRPr="00686040" w:rsidRDefault="006A2EC6" w:rsidP="372C8F5C">
      <w:pPr>
        <w:spacing w:before="100" w:beforeAutospacing="1" w:after="100" w:afterAutospacing="1" w:line="240" w:lineRule="auto"/>
        <w:outlineLvl w:val="3"/>
        <w:rPr>
          <w:rFonts w:ascii="Times New Roman" w:eastAsia="Times New Roman" w:hAnsi="Times New Roman" w:cs="Times New Roman"/>
          <w:b/>
          <w:bCs/>
          <w:color w:val="0F4761" w:themeColor="accent1" w:themeShade="BF"/>
          <w:kern w:val="0"/>
          <w:sz w:val="28"/>
          <w:szCs w:val="28"/>
          <w:lang w:val="en-GB"/>
          <w14:ligatures w14:val="none"/>
        </w:rPr>
      </w:pPr>
      <w:r w:rsidRPr="372C8F5C">
        <w:rPr>
          <w:rFonts w:ascii="Times New Roman" w:eastAsia="Times New Roman" w:hAnsi="Times New Roman" w:cs="Times New Roman"/>
          <w:b/>
          <w:bCs/>
          <w:color w:val="0F4761" w:themeColor="accent1" w:themeShade="BF"/>
          <w:kern w:val="0"/>
          <w:sz w:val="28"/>
          <w:szCs w:val="28"/>
          <w:lang w:val="en-GB"/>
          <w14:ligatures w14:val="none"/>
        </w:rPr>
        <w:t xml:space="preserve">Conference </w:t>
      </w:r>
      <w:r w:rsidR="00DC1A5D" w:rsidRPr="372C8F5C">
        <w:rPr>
          <w:rFonts w:ascii="Times New Roman" w:eastAsia="Times New Roman" w:hAnsi="Times New Roman" w:cs="Times New Roman"/>
          <w:b/>
          <w:bCs/>
          <w:color w:val="0F4761" w:themeColor="accent1" w:themeShade="BF"/>
          <w:kern w:val="0"/>
          <w:sz w:val="28"/>
          <w:szCs w:val="28"/>
          <w:lang w:val="en-GB"/>
          <w14:ligatures w14:val="none"/>
        </w:rPr>
        <w:t>Structure</w:t>
      </w:r>
      <w:r w:rsidR="00686040" w:rsidRPr="372C8F5C">
        <w:rPr>
          <w:rFonts w:ascii="Times New Roman" w:eastAsia="Times New Roman" w:hAnsi="Times New Roman" w:cs="Times New Roman"/>
          <w:b/>
          <w:bCs/>
          <w:color w:val="0F4761" w:themeColor="accent1" w:themeShade="BF"/>
          <w:kern w:val="0"/>
          <w:sz w:val="28"/>
          <w:szCs w:val="28"/>
          <w:lang w:val="en-GB"/>
          <w14:ligatures w14:val="none"/>
        </w:rPr>
        <w:t>:</w:t>
      </w:r>
    </w:p>
    <w:p w14:paraId="50E03F30" w14:textId="77777777" w:rsidR="00DC1A5D" w:rsidRPr="00DC1A5D" w:rsidRDefault="00DC1A5D" w:rsidP="2DDCF952">
      <w:pPr>
        <w:spacing w:before="100" w:beforeAutospacing="1" w:after="100" w:afterAutospacing="1" w:line="240" w:lineRule="auto"/>
        <w:rPr>
          <w:rFonts w:ascii="Times New Roman" w:eastAsia="Times New Roman" w:hAnsi="Times New Roman" w:cs="Times New Roman"/>
          <w:kern w:val="0"/>
          <w:lang w:val="en-GB"/>
          <w14:ligatures w14:val="none"/>
        </w:rPr>
      </w:pPr>
      <w:r w:rsidRPr="00DC1A5D">
        <w:rPr>
          <w:rFonts w:ascii="Times New Roman" w:eastAsia="Times New Roman" w:hAnsi="Times New Roman" w:cs="Times New Roman"/>
          <w:kern w:val="0"/>
          <w:lang w:val="en-GB"/>
          <w14:ligatures w14:val="none"/>
        </w:rPr>
        <w:t>The 2026 conference will be organised around a three-track structure designed to reflect RWI’s integrated approach to human rights research, education, and practice. Rather than treating these dimensions separately, the structure encourages interaction between them while still providing dedicated spaces for more focused discussions.</w:t>
      </w:r>
    </w:p>
    <w:p w14:paraId="45E4F133" w14:textId="77777777" w:rsidR="00DC1A5D" w:rsidRPr="00DC1A5D" w:rsidRDefault="00DC1A5D" w:rsidP="00DC1A5D">
      <w:pPr>
        <w:spacing w:before="100" w:beforeAutospacing="1" w:after="100" w:afterAutospacing="1" w:line="240" w:lineRule="auto"/>
        <w:rPr>
          <w:rFonts w:ascii="Times New Roman" w:eastAsia="Times New Roman" w:hAnsi="Times New Roman" w:cs="Times New Roman"/>
          <w:kern w:val="0"/>
          <w:lang w:val="en-GB"/>
          <w14:ligatures w14:val="none"/>
        </w:rPr>
      </w:pPr>
      <w:r w:rsidRPr="00DC1A5D">
        <w:rPr>
          <w:rFonts w:ascii="Times New Roman" w:eastAsia="Times New Roman" w:hAnsi="Times New Roman" w:cs="Times New Roman"/>
          <w:kern w:val="0"/>
          <w:lang w:val="en-GB"/>
          <w14:ligatures w14:val="none"/>
        </w:rPr>
        <w:t xml:space="preserve">The </w:t>
      </w:r>
      <w:r w:rsidRPr="00DC1A5D">
        <w:rPr>
          <w:rFonts w:ascii="Times New Roman" w:eastAsia="Times New Roman" w:hAnsi="Times New Roman" w:cs="Times New Roman"/>
          <w:b/>
          <w:bCs/>
          <w:kern w:val="0"/>
          <w:lang w:val="en-GB"/>
          <w14:ligatures w14:val="none"/>
        </w:rPr>
        <w:t>Research Track</w:t>
      </w:r>
      <w:r w:rsidRPr="00DC1A5D">
        <w:rPr>
          <w:rFonts w:ascii="Times New Roman" w:eastAsia="Times New Roman" w:hAnsi="Times New Roman" w:cs="Times New Roman"/>
          <w:kern w:val="0"/>
          <w:lang w:val="en-GB"/>
          <w14:ligatures w14:val="none"/>
        </w:rPr>
        <w:t xml:space="preserve"> will follow the format established in previous conferences and will serve as the academic core of the event. It will bring together scholars and researchers to present original, policy-relevant work on human rights issues in Armenia and beyond. Contributions in this track are expected to demonstrate strong methodological foundations and clear analytical contributions, while also engaging with practical implications for law, policy, and institutional reform. Panels will be organised thematically, allowing for in-depth discussion and critical engagement across disciplines.</w:t>
      </w:r>
    </w:p>
    <w:p w14:paraId="7B06066B" w14:textId="77777777" w:rsidR="00DC1A5D" w:rsidRPr="00DC1A5D" w:rsidRDefault="00DC1A5D" w:rsidP="00DC1A5D">
      <w:pPr>
        <w:spacing w:before="100" w:beforeAutospacing="1" w:after="100" w:afterAutospacing="1" w:line="240" w:lineRule="auto"/>
        <w:rPr>
          <w:rFonts w:ascii="Times New Roman" w:eastAsia="Times New Roman" w:hAnsi="Times New Roman" w:cs="Times New Roman"/>
          <w:kern w:val="0"/>
          <w:lang w:val="en-GB"/>
          <w14:ligatures w14:val="none"/>
        </w:rPr>
      </w:pPr>
      <w:r w:rsidRPr="00DC1A5D">
        <w:rPr>
          <w:rFonts w:ascii="Times New Roman" w:eastAsia="Times New Roman" w:hAnsi="Times New Roman" w:cs="Times New Roman"/>
          <w:kern w:val="0"/>
          <w:lang w:val="en-GB"/>
          <w14:ligatures w14:val="none"/>
        </w:rPr>
        <w:t xml:space="preserve">The </w:t>
      </w:r>
      <w:r w:rsidRPr="00DC1A5D">
        <w:rPr>
          <w:rFonts w:ascii="Times New Roman" w:eastAsia="Times New Roman" w:hAnsi="Times New Roman" w:cs="Times New Roman"/>
          <w:b/>
          <w:bCs/>
          <w:kern w:val="0"/>
          <w:lang w:val="en-GB"/>
          <w14:ligatures w14:val="none"/>
        </w:rPr>
        <w:t>Practice and Methodology Track</w:t>
      </w:r>
      <w:r w:rsidRPr="00DC1A5D">
        <w:rPr>
          <w:rFonts w:ascii="Times New Roman" w:eastAsia="Times New Roman" w:hAnsi="Times New Roman" w:cs="Times New Roman"/>
          <w:kern w:val="0"/>
          <w:lang w:val="en-GB"/>
          <w14:ligatures w14:val="none"/>
        </w:rPr>
        <w:t xml:space="preserve"> is designed to create a space for educators and institutional actors to exchange approaches to teaching and training in the field of human rights. This includes university professors, trainers from justice sector institutions, and others involved in professional education. The focus will be on how human rights can be effectively taught, communicated, and integrated into curricula and training programmes. Discussions may address pedagogical innovation, curriculum development, and the incorporation of experiential learning methods. Within this track, there will also be opportunities for civil society organisations and practitioners to contribute, particularly in cases where they collaborate with academic institutions or contribute to educational initiatives.</w:t>
      </w:r>
    </w:p>
    <w:p w14:paraId="31312F5B" w14:textId="10D19E7B" w:rsidR="00DC1A5D" w:rsidRPr="00DC1A5D" w:rsidRDefault="00DC1A5D" w:rsidP="0F9DF339">
      <w:pPr>
        <w:spacing w:before="100" w:beforeAutospacing="1" w:after="100" w:afterAutospacing="1" w:line="240" w:lineRule="auto"/>
        <w:rPr>
          <w:rFonts w:ascii="Times New Roman" w:eastAsia="Times New Roman" w:hAnsi="Times New Roman" w:cs="Times New Roman"/>
          <w:kern w:val="0"/>
          <w:lang w:val="en-GB"/>
          <w14:ligatures w14:val="none"/>
        </w:rPr>
      </w:pPr>
      <w:r w:rsidRPr="00DC1A5D">
        <w:rPr>
          <w:rFonts w:ascii="Times New Roman" w:eastAsia="Times New Roman" w:hAnsi="Times New Roman" w:cs="Times New Roman"/>
          <w:kern w:val="0"/>
          <w:lang w:val="en-GB"/>
          <w14:ligatures w14:val="none"/>
        </w:rPr>
        <w:t xml:space="preserve">The </w:t>
      </w:r>
      <w:r w:rsidRPr="00DC1A5D">
        <w:rPr>
          <w:rFonts w:ascii="Times New Roman" w:eastAsia="Times New Roman" w:hAnsi="Times New Roman" w:cs="Times New Roman"/>
          <w:b/>
          <w:bCs/>
          <w:kern w:val="0"/>
          <w:lang w:val="en-GB"/>
          <w14:ligatures w14:val="none"/>
        </w:rPr>
        <w:t>Experiential Learning Track</w:t>
      </w:r>
      <w:r w:rsidRPr="00DC1A5D">
        <w:rPr>
          <w:rFonts w:ascii="Times New Roman" w:eastAsia="Times New Roman" w:hAnsi="Times New Roman" w:cs="Times New Roman"/>
          <w:kern w:val="0"/>
          <w:lang w:val="en-GB"/>
          <w14:ligatures w14:val="none"/>
        </w:rPr>
        <w:t xml:space="preserve"> will focus on the practical application of human rights through clinical legal education, development and humanitarian programming, and other forms of hands-on engagement. It will provide a platform for legal clinicians, </w:t>
      </w:r>
      <w:r w:rsidRPr="00686040">
        <w:rPr>
          <w:rFonts w:ascii="Times New Roman" w:eastAsia="Times New Roman" w:hAnsi="Times New Roman" w:cs="Times New Roman"/>
          <w:kern w:val="0"/>
          <w:lang w:val="en-GB"/>
          <w14:ligatures w14:val="none"/>
        </w:rPr>
        <w:t xml:space="preserve">international development partners, </w:t>
      </w:r>
      <w:r w:rsidRPr="00DC1A5D">
        <w:rPr>
          <w:rFonts w:ascii="Times New Roman" w:eastAsia="Times New Roman" w:hAnsi="Times New Roman" w:cs="Times New Roman"/>
          <w:kern w:val="0"/>
          <w:lang w:val="en-GB"/>
          <w14:ligatures w14:val="none"/>
        </w:rPr>
        <w:t>NGO practitioners, and students to share experiences, tools, and lessons learned from working directly with communities and rights-holders. The emphasis in this track will be on skills development, real-world problem-solving, and the translation of human rights principles into practice. Sessions are expected to be more interactive in nature and may include workshops, simulations, or case-based discussions.</w:t>
      </w:r>
    </w:p>
    <w:p w14:paraId="46F292E5" w14:textId="77777777" w:rsidR="00DC1A5D" w:rsidRPr="00DC1A5D" w:rsidRDefault="00DC1A5D" w:rsidP="00DC1A5D">
      <w:pPr>
        <w:spacing w:before="100" w:beforeAutospacing="1" w:after="100" w:afterAutospacing="1" w:line="240" w:lineRule="auto"/>
        <w:rPr>
          <w:rFonts w:ascii="Times New Roman" w:eastAsia="Times New Roman" w:hAnsi="Times New Roman" w:cs="Times New Roman"/>
          <w:kern w:val="0"/>
          <w:lang w:val="en-GB"/>
          <w14:ligatures w14:val="none"/>
        </w:rPr>
      </w:pPr>
      <w:r w:rsidRPr="00DC1A5D">
        <w:rPr>
          <w:rFonts w:ascii="Times New Roman" w:eastAsia="Times New Roman" w:hAnsi="Times New Roman" w:cs="Times New Roman"/>
          <w:kern w:val="0"/>
          <w:lang w:val="en-GB"/>
          <w14:ligatures w14:val="none"/>
        </w:rPr>
        <w:t>While the three tracks provide a clear structure for the conference, they are not intended to operate in isolation. Participants will be encouraged to engage across tracks, and certain sessions may deliberately bridge research, teaching, and practice. Civil society organisations</w:t>
      </w:r>
      <w:proofErr w:type="gramStart"/>
      <w:r w:rsidRPr="00DC1A5D">
        <w:rPr>
          <w:rFonts w:ascii="Times New Roman" w:eastAsia="Times New Roman" w:hAnsi="Times New Roman" w:cs="Times New Roman"/>
          <w:kern w:val="0"/>
          <w:lang w:val="en-GB"/>
          <w14:ligatures w14:val="none"/>
        </w:rPr>
        <w:t>, in particular, are</w:t>
      </w:r>
      <w:proofErr w:type="gramEnd"/>
      <w:r w:rsidRPr="00DC1A5D">
        <w:rPr>
          <w:rFonts w:ascii="Times New Roman" w:eastAsia="Times New Roman" w:hAnsi="Times New Roman" w:cs="Times New Roman"/>
          <w:kern w:val="0"/>
          <w:lang w:val="en-GB"/>
          <w14:ligatures w14:val="none"/>
        </w:rPr>
        <w:t xml:space="preserve"> invited to actively shape discussions within both the Practice and Methodology Track and the Experiential Learning Track, either by proposing panels or facilitating dialogue-oriented sessions. This approach ensures that practitioner perspectives are embedded throughout the conference without being confined to a separate thematic stream.</w:t>
      </w:r>
    </w:p>
    <w:p w14:paraId="57249546" w14:textId="4E61A4CE" w:rsidR="006A2EC6" w:rsidRPr="00686040" w:rsidRDefault="006A2EC6" w:rsidP="372C8F5C">
      <w:pPr>
        <w:spacing w:before="100" w:beforeAutospacing="1" w:after="100" w:afterAutospacing="1" w:line="240" w:lineRule="auto"/>
        <w:outlineLvl w:val="3"/>
        <w:rPr>
          <w:rFonts w:ascii="Times New Roman" w:eastAsia="Times New Roman" w:hAnsi="Times New Roman" w:cs="Times New Roman"/>
          <w:b/>
          <w:bCs/>
          <w:color w:val="0F4761" w:themeColor="accent1" w:themeShade="BF"/>
          <w:kern w:val="0"/>
          <w:sz w:val="28"/>
          <w:szCs w:val="28"/>
          <w:lang w:val="en-GB"/>
          <w14:ligatures w14:val="none"/>
        </w:rPr>
      </w:pPr>
      <w:commentRangeStart w:id="0"/>
      <w:r w:rsidRPr="372C8F5C">
        <w:rPr>
          <w:rFonts w:ascii="Times New Roman" w:eastAsia="Times New Roman" w:hAnsi="Times New Roman" w:cs="Times New Roman"/>
          <w:b/>
          <w:bCs/>
          <w:color w:val="0F4761" w:themeColor="accent1" w:themeShade="BF"/>
          <w:kern w:val="0"/>
          <w:sz w:val="28"/>
          <w:szCs w:val="28"/>
          <w:lang w:val="en-GB"/>
          <w14:ligatures w14:val="none"/>
        </w:rPr>
        <w:lastRenderedPageBreak/>
        <w:t>Them</w:t>
      </w:r>
      <w:r w:rsidR="00686040" w:rsidRPr="372C8F5C">
        <w:rPr>
          <w:rFonts w:ascii="Times New Roman" w:eastAsia="Times New Roman" w:hAnsi="Times New Roman" w:cs="Times New Roman"/>
          <w:b/>
          <w:bCs/>
          <w:color w:val="0F4761" w:themeColor="accent1" w:themeShade="BF"/>
          <w:kern w:val="0"/>
          <w:sz w:val="28"/>
          <w:szCs w:val="28"/>
          <w:lang w:val="en-GB"/>
          <w14:ligatures w14:val="none"/>
        </w:rPr>
        <w:t>atic</w:t>
      </w:r>
      <w:commentRangeEnd w:id="0"/>
      <w:r>
        <w:rPr>
          <w:rStyle w:val="CommentReference"/>
        </w:rPr>
        <w:commentReference w:id="0"/>
      </w:r>
      <w:r w:rsidR="00686040" w:rsidRPr="372C8F5C">
        <w:rPr>
          <w:rFonts w:ascii="Times New Roman" w:eastAsia="Times New Roman" w:hAnsi="Times New Roman" w:cs="Times New Roman"/>
          <w:b/>
          <w:bCs/>
          <w:color w:val="0F4761" w:themeColor="accent1" w:themeShade="BF"/>
          <w:kern w:val="0"/>
          <w:sz w:val="28"/>
          <w:szCs w:val="28"/>
          <w:lang w:val="en-GB"/>
          <w14:ligatures w14:val="none"/>
        </w:rPr>
        <w:t xml:space="preserve"> Areas</w:t>
      </w:r>
      <w:r w:rsidRPr="372C8F5C">
        <w:rPr>
          <w:rFonts w:ascii="Times New Roman" w:eastAsia="Times New Roman" w:hAnsi="Times New Roman" w:cs="Times New Roman"/>
          <w:b/>
          <w:bCs/>
          <w:color w:val="0F4761" w:themeColor="accent1" w:themeShade="BF"/>
          <w:kern w:val="0"/>
          <w:sz w:val="28"/>
          <w:szCs w:val="28"/>
          <w:lang w:val="en-GB"/>
          <w14:ligatures w14:val="none"/>
        </w:rPr>
        <w:t>:</w:t>
      </w:r>
    </w:p>
    <w:p w14:paraId="53985B0B" w14:textId="48D8AD72" w:rsidR="009D075B" w:rsidRPr="00686040" w:rsidRDefault="00686040" w:rsidP="0F9DF339">
      <w:pPr>
        <w:spacing w:before="100" w:beforeAutospacing="1" w:after="100" w:afterAutospacing="1" w:line="240" w:lineRule="auto"/>
        <w:outlineLvl w:val="3"/>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Across all three tracks, the conference will focus on a set of interconnected thematic areas that reflect RWI’s core priorities and ongoing work in Armenia.  The conference encourages contributions that engage with broad challenges and emerging trends in human rights research, education, and practice.</w:t>
      </w:r>
    </w:p>
    <w:p w14:paraId="144A6C25" w14:textId="77777777" w:rsidR="00686040" w:rsidRPr="00686040" w:rsidRDefault="00686040" w:rsidP="372C8F5C">
      <w:pPr>
        <w:spacing w:before="100" w:beforeAutospacing="1" w:after="100" w:afterAutospacing="1" w:line="240" w:lineRule="auto"/>
        <w:outlineLvl w:val="2"/>
        <w:rPr>
          <w:rFonts w:ascii="Times New Roman" w:eastAsia="Times New Roman" w:hAnsi="Times New Roman" w:cs="Times New Roman"/>
          <w:b/>
          <w:bCs/>
          <w:color w:val="0F4761" w:themeColor="accent1" w:themeShade="BF"/>
          <w:kern w:val="0"/>
          <w:sz w:val="24"/>
          <w:szCs w:val="24"/>
          <w:lang w:val="en-GB"/>
          <w14:ligatures w14:val="none"/>
        </w:rPr>
      </w:pPr>
      <w:r w:rsidRPr="372C8F5C">
        <w:rPr>
          <w:rFonts w:ascii="Times New Roman" w:eastAsia="Times New Roman" w:hAnsi="Times New Roman" w:cs="Times New Roman"/>
          <w:b/>
          <w:bCs/>
          <w:color w:val="0F4761" w:themeColor="accent1" w:themeShade="BF"/>
          <w:kern w:val="0"/>
          <w:sz w:val="24"/>
          <w:szCs w:val="24"/>
          <w:lang w:val="en-GB"/>
          <w14:ligatures w14:val="none"/>
        </w:rPr>
        <w:t>Justice, Rule of Law, and Accountability</w:t>
      </w:r>
    </w:p>
    <w:p w14:paraId="062378F9" w14:textId="6C5280B6" w:rsidR="00686040" w:rsidRPr="00686040" w:rsidRDefault="00686040" w:rsidP="0F9DF339">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This theme brings together discussions on the functioning of justice systems and the application of human rights standards in legal and institutional contexts. Contributions may address structural and procedural challenges in ensuring fair and accessible justice, the role of judicial and prosecutorial actors, and broader questions of accountability, transparency, and institutional reform. Particular attention will be given to how international human rights standards are interpreted and implemented in practice, including in areas such as detention, due process, and oversight mechanisms.</w:t>
      </w:r>
    </w:p>
    <w:p w14:paraId="19E49E68" w14:textId="77777777" w:rsidR="00686040" w:rsidRPr="00686040" w:rsidRDefault="00686040" w:rsidP="372C8F5C">
      <w:pPr>
        <w:spacing w:before="100" w:beforeAutospacing="1" w:after="100" w:afterAutospacing="1" w:line="240" w:lineRule="auto"/>
        <w:outlineLvl w:val="2"/>
        <w:rPr>
          <w:rFonts w:ascii="Times New Roman" w:eastAsia="Times New Roman" w:hAnsi="Times New Roman" w:cs="Times New Roman"/>
          <w:b/>
          <w:bCs/>
          <w:color w:val="0F4761" w:themeColor="accent1" w:themeShade="BF"/>
          <w:kern w:val="0"/>
          <w:sz w:val="24"/>
          <w:szCs w:val="24"/>
          <w:lang w:val="en-GB"/>
          <w14:ligatures w14:val="none"/>
        </w:rPr>
      </w:pPr>
      <w:r w:rsidRPr="372C8F5C">
        <w:rPr>
          <w:rFonts w:ascii="Times New Roman" w:eastAsia="Times New Roman" w:hAnsi="Times New Roman" w:cs="Times New Roman"/>
          <w:b/>
          <w:bCs/>
          <w:color w:val="0F4761" w:themeColor="accent1" w:themeShade="BF"/>
          <w:kern w:val="0"/>
          <w:sz w:val="24"/>
          <w:szCs w:val="24"/>
          <w:lang w:val="en-GB"/>
          <w14:ligatures w14:val="none"/>
        </w:rPr>
        <w:t>Human Rights Education and Professional Training</w:t>
      </w:r>
    </w:p>
    <w:p w14:paraId="729DCD3A" w14:textId="77777777" w:rsidR="00686040" w:rsidRPr="00686040" w:rsidRDefault="00686040" w:rsidP="00686040">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This theme focuses on how human rights are taught, learned, and translated into professional practice. It invites reflections on educational models, curriculum development, and innovative teaching approaches, including clinical legal education and experiential learning. Contributions may also explore the role of universities and training institutions in shaping future practitioners and strengthening the overall human rights ecosystem.</w:t>
      </w:r>
    </w:p>
    <w:p w14:paraId="2AD714EB" w14:textId="77777777" w:rsidR="00686040" w:rsidRPr="00686040" w:rsidRDefault="00686040" w:rsidP="372C8F5C">
      <w:pPr>
        <w:spacing w:before="100" w:beforeAutospacing="1" w:after="100" w:afterAutospacing="1" w:line="240" w:lineRule="auto"/>
        <w:outlineLvl w:val="2"/>
        <w:rPr>
          <w:rFonts w:ascii="Times New Roman" w:eastAsia="Times New Roman" w:hAnsi="Times New Roman" w:cs="Times New Roman"/>
          <w:b/>
          <w:bCs/>
          <w:color w:val="0F4761" w:themeColor="accent1" w:themeShade="BF"/>
          <w:kern w:val="0"/>
          <w:sz w:val="24"/>
          <w:szCs w:val="24"/>
          <w:lang w:val="en-GB"/>
          <w14:ligatures w14:val="none"/>
        </w:rPr>
      </w:pPr>
      <w:r w:rsidRPr="372C8F5C">
        <w:rPr>
          <w:rFonts w:ascii="Times New Roman" w:eastAsia="Times New Roman" w:hAnsi="Times New Roman" w:cs="Times New Roman"/>
          <w:b/>
          <w:bCs/>
          <w:color w:val="0F4761" w:themeColor="accent1" w:themeShade="BF"/>
          <w:kern w:val="0"/>
          <w:sz w:val="24"/>
          <w:szCs w:val="24"/>
          <w:lang w:val="en-GB"/>
          <w14:ligatures w14:val="none"/>
        </w:rPr>
        <w:t>Environmental and Climate Justice</w:t>
      </w:r>
    </w:p>
    <w:p w14:paraId="184A561D" w14:textId="77777777" w:rsidR="00686040" w:rsidRPr="00686040" w:rsidRDefault="00686040" w:rsidP="00686040">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This theme addresses the growing intersection between human rights and environmental governance. It encourages contributions that examine how environmental and climate-related challenges impact rights and how human rights-based approaches can inform policy and practice. Topics may include environmental accountability, participation in decision-making, and the protection of vulnerable communities in the context of climate change and biodiversity loss.</w:t>
      </w:r>
    </w:p>
    <w:p w14:paraId="76D648BC" w14:textId="77777777" w:rsidR="00686040" w:rsidRPr="00686040" w:rsidRDefault="00686040" w:rsidP="372C8F5C">
      <w:pPr>
        <w:spacing w:before="100" w:beforeAutospacing="1" w:after="100" w:afterAutospacing="1" w:line="240" w:lineRule="auto"/>
        <w:outlineLvl w:val="2"/>
        <w:rPr>
          <w:rFonts w:ascii="Times New Roman" w:eastAsia="Times New Roman" w:hAnsi="Times New Roman" w:cs="Times New Roman"/>
          <w:b/>
          <w:bCs/>
          <w:color w:val="0F4761" w:themeColor="accent1" w:themeShade="BF"/>
          <w:kern w:val="0"/>
          <w:sz w:val="24"/>
          <w:szCs w:val="24"/>
          <w:lang w:val="en-GB"/>
          <w14:ligatures w14:val="none"/>
        </w:rPr>
      </w:pPr>
      <w:r w:rsidRPr="372C8F5C">
        <w:rPr>
          <w:rFonts w:ascii="Times New Roman" w:eastAsia="Times New Roman" w:hAnsi="Times New Roman" w:cs="Times New Roman"/>
          <w:b/>
          <w:bCs/>
          <w:color w:val="0F4761" w:themeColor="accent1" w:themeShade="BF"/>
          <w:kern w:val="0"/>
          <w:sz w:val="24"/>
          <w:szCs w:val="24"/>
          <w:lang w:val="en-GB"/>
          <w14:ligatures w14:val="none"/>
        </w:rPr>
        <w:t>Equality, Non-Discrimination, and Inclusion</w:t>
      </w:r>
    </w:p>
    <w:p w14:paraId="15B148F7" w14:textId="77777777" w:rsidR="00686040" w:rsidRPr="00686040" w:rsidRDefault="00686040" w:rsidP="00686040">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 xml:space="preserve">This theme centres on the protection of rights for individuals and groups at risk of marginalisation. Contributions may explore legal, institutional, and social dimensions of inequality, including gender, disability, and other intersecting forms of discrimination. </w:t>
      </w:r>
      <w:proofErr w:type="gramStart"/>
      <w:r w:rsidRPr="00686040">
        <w:rPr>
          <w:rFonts w:ascii="Times New Roman" w:eastAsia="Times New Roman" w:hAnsi="Times New Roman" w:cs="Times New Roman"/>
          <w:kern w:val="0"/>
          <w:lang w:val="en-GB"/>
          <w14:ligatures w14:val="none"/>
        </w:rPr>
        <w:t>Particular emphasis</w:t>
      </w:r>
      <w:proofErr w:type="gramEnd"/>
      <w:r w:rsidRPr="00686040">
        <w:rPr>
          <w:rFonts w:ascii="Times New Roman" w:eastAsia="Times New Roman" w:hAnsi="Times New Roman" w:cs="Times New Roman"/>
          <w:kern w:val="0"/>
          <w:lang w:val="en-GB"/>
          <w14:ligatures w14:val="none"/>
        </w:rPr>
        <w:t xml:space="preserve"> is placed on how inclusive approaches can be integrated into policy, justice systems, and public institutions.</w:t>
      </w:r>
    </w:p>
    <w:p w14:paraId="4D48D82A" w14:textId="77777777" w:rsidR="00686040" w:rsidRPr="00686040" w:rsidRDefault="00686040" w:rsidP="372C8F5C">
      <w:pPr>
        <w:spacing w:before="100" w:beforeAutospacing="1" w:after="100" w:afterAutospacing="1" w:line="240" w:lineRule="auto"/>
        <w:outlineLvl w:val="2"/>
        <w:rPr>
          <w:rFonts w:ascii="Times New Roman" w:eastAsia="Times New Roman" w:hAnsi="Times New Roman" w:cs="Times New Roman"/>
          <w:b/>
          <w:bCs/>
          <w:color w:val="0F4761" w:themeColor="accent1" w:themeShade="BF"/>
          <w:kern w:val="0"/>
          <w:sz w:val="24"/>
          <w:szCs w:val="24"/>
          <w:lang w:val="en-GB"/>
          <w14:ligatures w14:val="none"/>
        </w:rPr>
      </w:pPr>
      <w:r w:rsidRPr="372C8F5C">
        <w:rPr>
          <w:rFonts w:ascii="Times New Roman" w:eastAsia="Times New Roman" w:hAnsi="Times New Roman" w:cs="Times New Roman"/>
          <w:b/>
          <w:bCs/>
          <w:color w:val="0F4761" w:themeColor="accent1" w:themeShade="BF"/>
          <w:kern w:val="0"/>
          <w:sz w:val="24"/>
          <w:szCs w:val="24"/>
          <w:lang w:val="en-GB"/>
          <w14:ligatures w14:val="none"/>
        </w:rPr>
        <w:t>Business, Technology, and Human Rights</w:t>
      </w:r>
    </w:p>
    <w:p w14:paraId="129BA6F9" w14:textId="77777777" w:rsidR="00686040" w:rsidRPr="00686040" w:rsidRDefault="00686040" w:rsidP="04656B24">
      <w:pPr>
        <w:spacing w:before="100" w:beforeAutospacing="1" w:after="100" w:afterAutospacing="1" w:line="240" w:lineRule="auto"/>
        <w:rPr>
          <w:rFonts w:ascii="Times New Roman" w:eastAsia="Times New Roman" w:hAnsi="Times New Roman" w:cs="Times New Roman"/>
          <w:lang w:val="en-GB"/>
        </w:rPr>
      </w:pPr>
      <w:r w:rsidRPr="00686040">
        <w:rPr>
          <w:rFonts w:ascii="Times New Roman" w:eastAsia="Times New Roman" w:hAnsi="Times New Roman" w:cs="Times New Roman"/>
          <w:kern w:val="0"/>
          <w:lang w:val="en-GB"/>
          <w14:ligatures w14:val="none"/>
        </w:rPr>
        <w:t xml:space="preserve">This theme considers the implications of economic activity and technological development for human rights. It invites contributions that examine regulatory frameworks, emerging risks, and opportunities related to business practices, digitalisation, and technological innovation, including artificial intelligence and data governance. </w:t>
      </w:r>
    </w:p>
    <w:p w14:paraId="46BBE385" w14:textId="51B17CB5" w:rsidR="00686040" w:rsidRPr="006B51E0" w:rsidRDefault="04656B24" w:rsidP="04656B24">
      <w:pPr>
        <w:spacing w:before="240" w:after="240" w:line="240" w:lineRule="auto"/>
        <w:rPr>
          <w:rFonts w:ascii="Times New Roman" w:eastAsia="Times New Roman" w:hAnsi="Times New Roman" w:cs="Times New Roman"/>
          <w:b/>
          <w:bCs/>
          <w:color w:val="0F4761" w:themeColor="accent1" w:themeShade="BF"/>
          <w:kern w:val="0"/>
          <w:sz w:val="24"/>
          <w:szCs w:val="24"/>
          <w:lang w:val="en-GB"/>
          <w14:ligatures w14:val="none"/>
        </w:rPr>
      </w:pPr>
      <w:r w:rsidRPr="006B51E0">
        <w:rPr>
          <w:rFonts w:ascii="Times New Roman" w:eastAsia="Times New Roman" w:hAnsi="Times New Roman" w:cs="Times New Roman"/>
          <w:b/>
          <w:bCs/>
          <w:color w:val="0F4761" w:themeColor="accent1" w:themeShade="BF"/>
          <w:kern w:val="0"/>
          <w:sz w:val="24"/>
          <w:szCs w:val="24"/>
          <w:lang w:val="en-GB"/>
          <w14:ligatures w14:val="none"/>
        </w:rPr>
        <w:t>Migration, Refugees, Asylum, and Anti-Trafficking Reforms</w:t>
      </w:r>
    </w:p>
    <w:p w14:paraId="186E0C56" w14:textId="1DC6F720" w:rsidR="00686040" w:rsidRPr="00686040" w:rsidRDefault="04656B24" w:rsidP="04656B24">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4656B24">
        <w:rPr>
          <w:rFonts w:ascii="Times New Roman" w:eastAsia="Times New Roman" w:hAnsi="Times New Roman" w:cs="Times New Roman"/>
          <w:lang w:val="en-GB"/>
        </w:rPr>
        <w:t xml:space="preserve">This thematic area will examine legal and policy frameworks governing migration, asylum, and anti-trafficking, with a focus on alignment with international human rights standards. It will address protection </w:t>
      </w:r>
      <w:r w:rsidRPr="04656B24">
        <w:rPr>
          <w:rFonts w:ascii="Times New Roman" w:eastAsia="Times New Roman" w:hAnsi="Times New Roman" w:cs="Times New Roman"/>
          <w:lang w:val="en-GB"/>
        </w:rPr>
        <w:lastRenderedPageBreak/>
        <w:t>of vulnerable groups, access to asylum, and responses to human trafficking, while also exploring challenges related to displacement, irregular migration, and refugee integration. Particular attention will be given to institutional coordination and the role of local authorities in delivering services and supporting inclusion.</w:t>
      </w:r>
    </w:p>
    <w:p w14:paraId="64860CC3" w14:textId="77777777" w:rsidR="00686040" w:rsidRPr="00686040" w:rsidRDefault="00686040" w:rsidP="372C8F5C">
      <w:pPr>
        <w:spacing w:before="100" w:beforeAutospacing="1" w:after="100" w:afterAutospacing="1" w:line="240" w:lineRule="auto"/>
        <w:outlineLvl w:val="2"/>
        <w:rPr>
          <w:rFonts w:ascii="Times New Roman" w:eastAsia="Times New Roman" w:hAnsi="Times New Roman" w:cs="Times New Roman"/>
          <w:b/>
          <w:bCs/>
          <w:color w:val="0F4761" w:themeColor="accent1" w:themeShade="BF"/>
          <w:kern w:val="0"/>
          <w:sz w:val="24"/>
          <w:szCs w:val="24"/>
          <w:lang w:val="en-GB"/>
          <w14:ligatures w14:val="none"/>
        </w:rPr>
      </w:pPr>
      <w:r w:rsidRPr="372C8F5C">
        <w:rPr>
          <w:rFonts w:ascii="Times New Roman" w:eastAsia="Times New Roman" w:hAnsi="Times New Roman" w:cs="Times New Roman"/>
          <w:b/>
          <w:bCs/>
          <w:color w:val="0F4761" w:themeColor="accent1" w:themeShade="BF"/>
          <w:kern w:val="0"/>
          <w:sz w:val="24"/>
          <w:szCs w:val="24"/>
          <w:lang w:val="en-GB"/>
          <w14:ligatures w14:val="none"/>
        </w:rPr>
        <w:t>Human Rights in Changing Contexts</w:t>
      </w:r>
    </w:p>
    <w:p w14:paraId="05A48CA7" w14:textId="77777777" w:rsidR="00686040" w:rsidRPr="00686040" w:rsidRDefault="00686040" w:rsidP="00686040">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686040">
        <w:rPr>
          <w:rFonts w:ascii="Times New Roman" w:eastAsia="Times New Roman" w:hAnsi="Times New Roman" w:cs="Times New Roman"/>
          <w:kern w:val="0"/>
          <w:lang w:val="en-GB"/>
          <w14:ligatures w14:val="none"/>
        </w:rPr>
        <w:t>This cross-cutting theme captures broader socio-political and economic dynamics that shape the human rights landscape. Contributions may address issues such as conflict and displacement, socio-economic inequalities, and other contextual factors that influence the protection and realisation of human rights in Armenia and the wider region.</w:t>
      </w:r>
    </w:p>
    <w:p w14:paraId="2D3B13E2" w14:textId="77777777" w:rsidR="00EA37C2" w:rsidRPr="00686040" w:rsidRDefault="00EA37C2" w:rsidP="372C8F5C">
      <w:pPr>
        <w:spacing w:before="100" w:beforeAutospacing="1" w:after="100" w:afterAutospacing="1" w:line="240" w:lineRule="auto"/>
        <w:rPr>
          <w:rFonts w:ascii="Times New Roman" w:eastAsia="Times New Roman" w:hAnsi="Times New Roman" w:cs="Times New Roman"/>
          <w:color w:val="0F4761" w:themeColor="accent1" w:themeShade="BF"/>
          <w:kern w:val="0"/>
          <w:sz w:val="28"/>
          <w:szCs w:val="28"/>
          <w:lang w:val="en-GB"/>
          <w14:ligatures w14:val="none"/>
        </w:rPr>
      </w:pPr>
      <w:r w:rsidRPr="372C8F5C">
        <w:rPr>
          <w:rFonts w:ascii="Times New Roman" w:eastAsia="Times New Roman" w:hAnsi="Times New Roman" w:cs="Times New Roman"/>
          <w:b/>
          <w:bCs/>
          <w:color w:val="0F4761" w:themeColor="accent1" w:themeShade="BF"/>
          <w:kern w:val="0"/>
          <w:sz w:val="28"/>
          <w:szCs w:val="28"/>
          <w:lang w:val="en-GB"/>
          <w14:ligatures w14:val="none"/>
        </w:rPr>
        <w:t>Fellowship Opportunity:</w:t>
      </w:r>
      <w:r w:rsidRPr="372C8F5C">
        <w:rPr>
          <w:rFonts w:ascii="Times New Roman" w:eastAsia="Times New Roman" w:hAnsi="Times New Roman" w:cs="Times New Roman"/>
          <w:color w:val="0F4761" w:themeColor="accent1" w:themeShade="BF"/>
          <w:kern w:val="0"/>
          <w:sz w:val="28"/>
          <w:szCs w:val="28"/>
          <w:lang w:val="en-GB"/>
          <w14:ligatures w14:val="none"/>
        </w:rPr>
        <w:t xml:space="preserve"> </w:t>
      </w:r>
    </w:p>
    <w:p w14:paraId="00A4E017" w14:textId="2C1F3DEB" w:rsidR="00D221B1" w:rsidRPr="00686040" w:rsidRDefault="00EA37C2" w:rsidP="1C309905">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 xml:space="preserve">Participants of the conference will have the unique opportunity to apply for a </w:t>
      </w:r>
      <w:r w:rsidR="008B5166" w:rsidRPr="00686040">
        <w:rPr>
          <w:rFonts w:ascii="Times New Roman" w:eastAsia="Times New Roman" w:hAnsi="Times New Roman" w:cs="Times New Roman"/>
          <w:kern w:val="0"/>
          <w:lang w:val="en-GB"/>
          <w14:ligatures w14:val="none"/>
        </w:rPr>
        <w:t xml:space="preserve">research </w:t>
      </w:r>
      <w:r w:rsidRPr="00686040">
        <w:rPr>
          <w:rFonts w:ascii="Times New Roman" w:eastAsia="Times New Roman" w:hAnsi="Times New Roman" w:cs="Times New Roman"/>
          <w:kern w:val="0"/>
          <w:lang w:val="en-GB"/>
          <w14:ligatures w14:val="none"/>
        </w:rPr>
        <w:t>fellowship</w:t>
      </w:r>
      <w:r w:rsidR="00686040">
        <w:rPr>
          <w:rFonts w:ascii="Times New Roman" w:eastAsia="Times New Roman" w:hAnsi="Times New Roman" w:cs="Times New Roman"/>
          <w:kern w:val="0"/>
          <w:lang w:val="en-GB"/>
          <w14:ligatures w14:val="none"/>
        </w:rPr>
        <w:t xml:space="preserve"> </w:t>
      </w:r>
      <w:r w:rsidRPr="00686040">
        <w:rPr>
          <w:rFonts w:ascii="Times New Roman" w:eastAsia="Times New Roman" w:hAnsi="Times New Roman" w:cs="Times New Roman"/>
          <w:kern w:val="0"/>
          <w:lang w:val="en-GB"/>
          <w14:ligatures w14:val="none"/>
        </w:rPr>
        <w:t>organi</w:t>
      </w:r>
      <w:r w:rsidR="00DC1A5D" w:rsidRPr="00686040">
        <w:rPr>
          <w:rFonts w:ascii="Times New Roman" w:eastAsia="Times New Roman" w:hAnsi="Times New Roman" w:cs="Times New Roman"/>
          <w:kern w:val="0"/>
          <w:lang w:val="en-GB"/>
          <w14:ligatures w14:val="none"/>
        </w:rPr>
        <w:t>s</w:t>
      </w:r>
      <w:r w:rsidRPr="00686040">
        <w:rPr>
          <w:rFonts w:ascii="Times New Roman" w:eastAsia="Times New Roman" w:hAnsi="Times New Roman" w:cs="Times New Roman"/>
          <w:kern w:val="0"/>
          <w:lang w:val="en-GB"/>
          <w14:ligatures w14:val="none"/>
        </w:rPr>
        <w:t xml:space="preserve">ed by the RWI. </w:t>
      </w:r>
      <w:r w:rsidR="00D221B1" w:rsidRPr="00686040">
        <w:rPr>
          <w:rFonts w:ascii="Times New Roman" w:eastAsia="Times New Roman" w:hAnsi="Times New Roman" w:cs="Times New Roman"/>
          <w:kern w:val="0"/>
          <w:lang w:val="en-GB"/>
          <w14:ligatures w14:val="none"/>
        </w:rPr>
        <w:t>This fellowship program</w:t>
      </w:r>
      <w:r w:rsidR="00DC1A5D" w:rsidRPr="00686040">
        <w:rPr>
          <w:rFonts w:ascii="Times New Roman" w:eastAsia="Times New Roman" w:hAnsi="Times New Roman" w:cs="Times New Roman"/>
          <w:kern w:val="0"/>
          <w:lang w:val="en-GB"/>
          <w14:ligatures w14:val="none"/>
        </w:rPr>
        <w:t>me</w:t>
      </w:r>
      <w:r w:rsidR="00D221B1" w:rsidRPr="00686040">
        <w:rPr>
          <w:rFonts w:ascii="Times New Roman" w:eastAsia="Times New Roman" w:hAnsi="Times New Roman" w:cs="Times New Roman"/>
          <w:kern w:val="0"/>
          <w:lang w:val="en-GB"/>
          <w14:ligatures w14:val="none"/>
        </w:rPr>
        <w:t xml:space="preserve"> will provide early-career researchers, professionals, and scholars from the Armenian universities with an opportunity to deepen their engagement with human rights research and practice, receive tailored guidance and support as they develop their projects and research agendas. Fellows will engage in hands-on project development, collaborate with experts, and contribute to the organisation’s ongoing initiatives. The programme will include a pre-residency project phase followed by a 2-month residency at RWI’s headquarters.</w:t>
      </w:r>
    </w:p>
    <w:p w14:paraId="5752D55F" w14:textId="77777777" w:rsidR="00686040" w:rsidRPr="00686040" w:rsidRDefault="00686040" w:rsidP="372C8F5C">
      <w:pPr>
        <w:spacing w:before="100" w:beforeAutospacing="1" w:after="100" w:afterAutospacing="1" w:line="240" w:lineRule="auto"/>
        <w:outlineLvl w:val="1"/>
        <w:rPr>
          <w:rFonts w:ascii="Times New Roman" w:eastAsia="Times New Roman" w:hAnsi="Times New Roman" w:cs="Times New Roman"/>
          <w:b/>
          <w:bCs/>
          <w:color w:val="0F4761" w:themeColor="accent1" w:themeShade="BF"/>
          <w:kern w:val="0"/>
          <w:sz w:val="28"/>
          <w:szCs w:val="28"/>
          <w14:ligatures w14:val="none"/>
        </w:rPr>
      </w:pPr>
      <w:r w:rsidRPr="372C8F5C">
        <w:rPr>
          <w:rFonts w:ascii="Times New Roman" w:eastAsia="Times New Roman" w:hAnsi="Times New Roman" w:cs="Times New Roman"/>
          <w:b/>
          <w:bCs/>
          <w:color w:val="0F4761" w:themeColor="accent1" w:themeShade="BF"/>
          <w:kern w:val="0"/>
          <w:sz w:val="28"/>
          <w:szCs w:val="28"/>
          <w14:ligatures w14:val="none"/>
        </w:rPr>
        <w:t>Participation and Format</w:t>
      </w:r>
    </w:p>
    <w:p w14:paraId="1FD087FD" w14:textId="77777777" w:rsidR="00686040" w:rsidRPr="00686040" w:rsidRDefault="00686040" w:rsidP="00686040">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The conference will be held in person in Yerevan and will bring together a diverse group of participants, including academics, researchers, legal practitioners, civil society representatives, government officials, and students engaged in human rights work. Efforts will be made to ensure inclusive participation, including representation from regions outside Yerevan, early-career professionals, and underrepresented groups.</w:t>
      </w:r>
    </w:p>
    <w:p w14:paraId="1DFDACA9" w14:textId="77777777" w:rsidR="00686040" w:rsidRPr="00686040" w:rsidRDefault="00686040" w:rsidP="00686040">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The programme will combine plenary sessions and parallel track sessions. Plenary sessions will feature keynote speakers and high-level discussions on overarching human rights challenges and developments. Parallel sessions will be organised across the three tracks and will include paper presentations, panel discussions, and thematic exchanges.</w:t>
      </w:r>
    </w:p>
    <w:p w14:paraId="27D58844" w14:textId="77777777" w:rsidR="00686040" w:rsidRPr="00686040" w:rsidRDefault="00686040" w:rsidP="00686040">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While the Research Track will follow a more traditional academic format, the Practice and Methodology Track and the Experiential Learning Track will place greater emphasis on interactive formats such as workshops, roundtables, and case-based discussions. Participants, particularly from civil society and practitioner communities, are encouraged to propose practice-oriented and dialogue-based sessions.</w:t>
      </w:r>
    </w:p>
    <w:p w14:paraId="45D96D5F" w14:textId="77777777" w:rsidR="00686040" w:rsidRPr="00686040" w:rsidRDefault="00686040" w:rsidP="00686040">
      <w:pPr>
        <w:spacing w:before="100" w:beforeAutospacing="1" w:after="100" w:afterAutospacing="1" w:line="240" w:lineRule="auto"/>
        <w:rPr>
          <w:rFonts w:ascii="Times New Roman" w:eastAsia="Times New Roman" w:hAnsi="Times New Roman" w:cs="Times New Roman"/>
          <w:kern w:val="0"/>
          <w:lang w:val="en-GB"/>
          <w14:ligatures w14:val="none"/>
        </w:rPr>
      </w:pPr>
      <w:r w:rsidRPr="00686040">
        <w:rPr>
          <w:rFonts w:ascii="Times New Roman" w:eastAsia="Times New Roman" w:hAnsi="Times New Roman" w:cs="Times New Roman"/>
          <w:kern w:val="0"/>
          <w:lang w:val="en-GB"/>
          <w14:ligatures w14:val="none"/>
        </w:rPr>
        <w:t>The conference will also prioritise cross-track engagement, encouraging participants to move between sessions and engage with different perspectives. In addition to formal sessions, the programme will include opportunities for networking and informal exchange, supporting collaboration and the development of new partnerships.</w:t>
      </w:r>
    </w:p>
    <w:p w14:paraId="751CDC70" w14:textId="77777777" w:rsidR="006B51E0" w:rsidRDefault="006B51E0">
      <w:pPr>
        <w:rPr>
          <w:rFonts w:ascii="Times New Roman" w:eastAsia="Times New Roman" w:hAnsi="Times New Roman" w:cs="Times New Roman"/>
          <w:b/>
          <w:bCs/>
          <w:color w:val="0F4761" w:themeColor="accent1" w:themeShade="BF"/>
          <w:sz w:val="28"/>
          <w:szCs w:val="28"/>
          <w:lang w:val="en-GB"/>
        </w:rPr>
      </w:pPr>
      <w:r>
        <w:rPr>
          <w:rFonts w:ascii="Times New Roman" w:eastAsia="Times New Roman" w:hAnsi="Times New Roman" w:cs="Times New Roman"/>
          <w:b/>
          <w:bCs/>
          <w:color w:val="0F4761" w:themeColor="accent1" w:themeShade="BF"/>
          <w:sz w:val="28"/>
          <w:szCs w:val="28"/>
          <w:lang w:val="en-GB"/>
        </w:rPr>
        <w:br w:type="page"/>
      </w:r>
    </w:p>
    <w:p w14:paraId="4551F76A" w14:textId="040CAB86" w:rsidR="00686040" w:rsidRDefault="372C8F5C" w:rsidP="372C8F5C">
      <w:pPr>
        <w:spacing w:before="100" w:beforeAutospacing="1" w:after="100" w:afterAutospacing="1" w:line="240" w:lineRule="auto"/>
        <w:outlineLvl w:val="3"/>
        <w:rPr>
          <w:rFonts w:ascii="Times New Roman" w:eastAsia="Times New Roman" w:hAnsi="Times New Roman" w:cs="Times New Roman"/>
          <w:b/>
          <w:bCs/>
          <w:color w:val="0F4761" w:themeColor="accent1" w:themeShade="BF"/>
          <w:sz w:val="28"/>
          <w:szCs w:val="28"/>
          <w:lang w:val="en-GB"/>
        </w:rPr>
      </w:pPr>
      <w:r w:rsidRPr="372C8F5C">
        <w:rPr>
          <w:rFonts w:ascii="Times New Roman" w:eastAsia="Times New Roman" w:hAnsi="Times New Roman" w:cs="Times New Roman"/>
          <w:b/>
          <w:bCs/>
          <w:color w:val="0F4761" w:themeColor="accent1" w:themeShade="BF"/>
          <w:sz w:val="28"/>
          <w:szCs w:val="28"/>
          <w:lang w:val="en-GB"/>
        </w:rPr>
        <w:lastRenderedPageBreak/>
        <w:t>Call for Proposals:</w:t>
      </w:r>
    </w:p>
    <w:p w14:paraId="104750FF" w14:textId="1C3D164C" w:rsidR="00686040" w:rsidRDefault="6D34A36F" w:rsidP="372C8F5C">
      <w:pPr>
        <w:spacing w:before="240" w:after="240" w:line="240" w:lineRule="auto"/>
        <w:rPr>
          <w:rFonts w:ascii="Times New Roman" w:eastAsia="Times New Roman" w:hAnsi="Times New Roman" w:cs="Times New Roman"/>
          <w:sz w:val="20"/>
          <w:szCs w:val="20"/>
          <w:lang w:val="en-GB"/>
        </w:rPr>
      </w:pPr>
      <w:r w:rsidRPr="6D34A36F">
        <w:rPr>
          <w:rFonts w:ascii="Times New Roman" w:eastAsia="Times New Roman" w:hAnsi="Times New Roman" w:cs="Times New Roman"/>
          <w:lang w:val="en-GB"/>
        </w:rPr>
        <w:t>RWI invites submissions for its fourth international conference on human rights in Armenia. The conference aims to bring together academics, practitioners, educators, civil society actors, and policymakers to explore current challenges and practical approaches to advancing human rights.</w:t>
      </w:r>
    </w:p>
    <w:p w14:paraId="2BC8140A" w14:textId="2710E9A6" w:rsidR="00686040" w:rsidRDefault="372C8F5C" w:rsidP="372C8F5C">
      <w:pPr>
        <w:spacing w:before="240" w:after="240" w:line="240" w:lineRule="auto"/>
        <w:rPr>
          <w:rFonts w:ascii="Times New Roman" w:eastAsia="Times New Roman" w:hAnsi="Times New Roman" w:cs="Times New Roman"/>
          <w:sz w:val="20"/>
          <w:szCs w:val="20"/>
          <w:lang w:val="en-GB"/>
        </w:rPr>
      </w:pPr>
      <w:r w:rsidRPr="372C8F5C">
        <w:rPr>
          <w:rFonts w:ascii="Times New Roman" w:eastAsia="Times New Roman" w:hAnsi="Times New Roman" w:cs="Times New Roman"/>
          <w:lang w:val="en-GB"/>
        </w:rPr>
        <w:t xml:space="preserve">The 2026 edition places a particular emphasis on the </w:t>
      </w:r>
      <w:r w:rsidRPr="372C8F5C">
        <w:rPr>
          <w:rFonts w:ascii="Times New Roman" w:eastAsia="Times New Roman" w:hAnsi="Times New Roman" w:cs="Times New Roman"/>
          <w:b/>
          <w:bCs/>
          <w:lang w:val="en-GB"/>
        </w:rPr>
        <w:t>interaction between research, education, and practice</w:t>
      </w:r>
      <w:r w:rsidRPr="372C8F5C">
        <w:rPr>
          <w:rFonts w:ascii="Times New Roman" w:eastAsia="Times New Roman" w:hAnsi="Times New Roman" w:cs="Times New Roman"/>
          <w:lang w:val="en-GB"/>
        </w:rPr>
        <w:t>, reflecting RWI’s ongoing work in strengthening the application of international human rights standards in Armenia.</w:t>
      </w:r>
    </w:p>
    <w:p w14:paraId="0228FD50" w14:textId="3A191162" w:rsidR="00686040" w:rsidRDefault="372C8F5C" w:rsidP="372C8F5C">
      <w:pPr>
        <w:pStyle w:val="Heading2"/>
        <w:spacing w:before="299" w:after="299" w:line="240" w:lineRule="auto"/>
        <w:rPr>
          <w:rFonts w:ascii="Times New Roman" w:eastAsia="Times New Roman" w:hAnsi="Times New Roman" w:cs="Times New Roman"/>
          <w:b/>
          <w:bCs/>
          <w:sz w:val="28"/>
          <w:szCs w:val="28"/>
          <w:lang w:val="en-GB"/>
        </w:rPr>
      </w:pPr>
      <w:r w:rsidRPr="372C8F5C">
        <w:rPr>
          <w:rFonts w:ascii="Times New Roman" w:eastAsia="Times New Roman" w:hAnsi="Times New Roman" w:cs="Times New Roman"/>
          <w:b/>
          <w:bCs/>
          <w:sz w:val="28"/>
          <w:szCs w:val="28"/>
          <w:lang w:val="en-GB"/>
        </w:rPr>
        <w:t>Types of Submissions</w:t>
      </w:r>
    </w:p>
    <w:p w14:paraId="2CE88A41" w14:textId="0DC61B1A" w:rsidR="00686040" w:rsidRDefault="372C8F5C" w:rsidP="372C8F5C">
      <w:pPr>
        <w:spacing w:before="240" w:after="240" w:line="240" w:lineRule="auto"/>
        <w:rPr>
          <w:rFonts w:ascii="Times New Roman" w:eastAsia="Times New Roman" w:hAnsi="Times New Roman" w:cs="Times New Roman"/>
          <w:sz w:val="24"/>
          <w:szCs w:val="24"/>
          <w:lang w:val="en-GB"/>
        </w:rPr>
      </w:pPr>
      <w:r w:rsidRPr="372C8F5C">
        <w:rPr>
          <w:rFonts w:ascii="Times New Roman" w:eastAsia="Times New Roman" w:hAnsi="Times New Roman" w:cs="Times New Roman"/>
          <w:sz w:val="24"/>
          <w:szCs w:val="24"/>
          <w:lang w:val="en-GB"/>
        </w:rPr>
        <w:t>The conference welcomes:</w:t>
      </w:r>
    </w:p>
    <w:p w14:paraId="26FEFE7A" w14:textId="4730BA5F" w:rsidR="00686040" w:rsidRDefault="372C8F5C" w:rsidP="372C8F5C">
      <w:pPr>
        <w:pStyle w:val="Heading3"/>
        <w:spacing w:before="281" w:after="281" w:line="240" w:lineRule="auto"/>
        <w:rPr>
          <w:rFonts w:ascii="Times New Roman" w:eastAsia="Times New Roman" w:hAnsi="Times New Roman" w:cs="Times New Roman"/>
          <w:b/>
          <w:bCs/>
          <w:sz w:val="24"/>
          <w:szCs w:val="24"/>
          <w:lang w:val="en-GB"/>
        </w:rPr>
      </w:pPr>
      <w:r w:rsidRPr="372C8F5C">
        <w:rPr>
          <w:rFonts w:ascii="Times New Roman" w:eastAsia="Times New Roman" w:hAnsi="Times New Roman" w:cs="Times New Roman"/>
          <w:b/>
          <w:bCs/>
          <w:sz w:val="24"/>
          <w:szCs w:val="24"/>
          <w:lang w:val="en-GB"/>
        </w:rPr>
        <w:t>Individual Paper Proposals (primarily Research Track)</w:t>
      </w:r>
    </w:p>
    <w:p w14:paraId="618B525E" w14:textId="49426BB2" w:rsidR="00686040" w:rsidRDefault="372C8F5C" w:rsidP="372C8F5C">
      <w:pPr>
        <w:pStyle w:val="ListParagraph"/>
        <w:numPr>
          <w:ilvl w:val="0"/>
          <w:numId w:val="5"/>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Paper title (max. 15 words) </w:t>
      </w:r>
    </w:p>
    <w:p w14:paraId="61777A60" w14:textId="2F4ADA0D" w:rsidR="00686040" w:rsidRDefault="372C8F5C" w:rsidP="372C8F5C">
      <w:pPr>
        <w:pStyle w:val="ListParagraph"/>
        <w:numPr>
          <w:ilvl w:val="0"/>
          <w:numId w:val="5"/>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Abstract (max. 500 words) </w:t>
      </w:r>
    </w:p>
    <w:p w14:paraId="0D32AD99" w14:textId="42D4D410" w:rsidR="00686040" w:rsidRDefault="372C8F5C" w:rsidP="372C8F5C">
      <w:pPr>
        <w:pStyle w:val="ListParagraph"/>
        <w:numPr>
          <w:ilvl w:val="0"/>
          <w:numId w:val="5"/>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Short bio (max. 150–200 words) </w:t>
      </w:r>
    </w:p>
    <w:p w14:paraId="4AC59233" w14:textId="0D1C87E6" w:rsidR="00686040" w:rsidRDefault="372C8F5C" w:rsidP="372C8F5C">
      <w:pPr>
        <w:pStyle w:val="Heading3"/>
        <w:spacing w:before="281" w:after="281" w:line="240" w:lineRule="auto"/>
        <w:rPr>
          <w:rFonts w:ascii="Times New Roman" w:eastAsia="Times New Roman" w:hAnsi="Times New Roman" w:cs="Times New Roman"/>
          <w:b/>
          <w:bCs/>
          <w:sz w:val="24"/>
          <w:szCs w:val="24"/>
          <w:lang w:val="en-GB"/>
        </w:rPr>
      </w:pPr>
      <w:r w:rsidRPr="372C8F5C">
        <w:rPr>
          <w:rFonts w:ascii="Times New Roman" w:eastAsia="Times New Roman" w:hAnsi="Times New Roman" w:cs="Times New Roman"/>
          <w:b/>
          <w:bCs/>
          <w:sz w:val="24"/>
          <w:szCs w:val="24"/>
          <w:lang w:val="en-GB"/>
        </w:rPr>
        <w:t>Panel Proposals (all tracks)</w:t>
      </w:r>
    </w:p>
    <w:p w14:paraId="3B561868" w14:textId="3EB3217C" w:rsidR="00686040" w:rsidRDefault="372C8F5C" w:rsidP="372C8F5C">
      <w:pPr>
        <w:pStyle w:val="ListParagraph"/>
        <w:numPr>
          <w:ilvl w:val="0"/>
          <w:numId w:val="4"/>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Panel title (max. 15 words) </w:t>
      </w:r>
    </w:p>
    <w:p w14:paraId="7F9BC1B2" w14:textId="3A11C973" w:rsidR="00686040" w:rsidRDefault="372C8F5C" w:rsidP="372C8F5C">
      <w:pPr>
        <w:pStyle w:val="ListParagraph"/>
        <w:numPr>
          <w:ilvl w:val="0"/>
          <w:numId w:val="4"/>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Panel description (max. 500 words) </w:t>
      </w:r>
    </w:p>
    <w:p w14:paraId="6132C81F" w14:textId="079EBA8D" w:rsidR="00686040" w:rsidRDefault="372C8F5C" w:rsidP="372C8F5C">
      <w:pPr>
        <w:pStyle w:val="ListParagraph"/>
        <w:numPr>
          <w:ilvl w:val="0"/>
          <w:numId w:val="4"/>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List of participants (3–4 speakers, optional chair/discussant) </w:t>
      </w:r>
    </w:p>
    <w:p w14:paraId="3E64588F" w14:textId="56155427" w:rsidR="00686040" w:rsidRDefault="372C8F5C" w:rsidP="372C8F5C">
      <w:pPr>
        <w:pStyle w:val="ListParagraph"/>
        <w:numPr>
          <w:ilvl w:val="0"/>
          <w:numId w:val="4"/>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Short bios for all participants </w:t>
      </w:r>
    </w:p>
    <w:p w14:paraId="33D03D63" w14:textId="384F4735" w:rsidR="00686040" w:rsidRDefault="372C8F5C" w:rsidP="372C8F5C">
      <w:pPr>
        <w:pStyle w:val="Heading3"/>
        <w:spacing w:before="281" w:after="281" w:line="240" w:lineRule="auto"/>
        <w:rPr>
          <w:rFonts w:ascii="Times New Roman" w:eastAsia="Times New Roman" w:hAnsi="Times New Roman" w:cs="Times New Roman"/>
          <w:b/>
          <w:bCs/>
          <w:sz w:val="24"/>
          <w:szCs w:val="24"/>
          <w:lang w:val="en-GB"/>
        </w:rPr>
      </w:pPr>
      <w:r w:rsidRPr="372C8F5C">
        <w:rPr>
          <w:rFonts w:ascii="Times New Roman" w:eastAsia="Times New Roman" w:hAnsi="Times New Roman" w:cs="Times New Roman"/>
          <w:b/>
          <w:bCs/>
          <w:sz w:val="24"/>
          <w:szCs w:val="24"/>
          <w:lang w:val="en-GB"/>
        </w:rPr>
        <w:t>Workshops / Practice-Oriented Sessions (Tracks 2 and 3)</w:t>
      </w:r>
    </w:p>
    <w:p w14:paraId="583FE8BF" w14:textId="4F806DEF" w:rsidR="00686040" w:rsidRDefault="372C8F5C" w:rsidP="372C8F5C">
      <w:pPr>
        <w:pStyle w:val="ListParagraph"/>
        <w:numPr>
          <w:ilvl w:val="0"/>
          <w:numId w:val="3"/>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Session title </w:t>
      </w:r>
    </w:p>
    <w:p w14:paraId="5A1D21CA" w14:textId="54FC4E07" w:rsidR="00686040" w:rsidRDefault="372C8F5C" w:rsidP="372C8F5C">
      <w:pPr>
        <w:pStyle w:val="ListParagraph"/>
        <w:numPr>
          <w:ilvl w:val="0"/>
          <w:numId w:val="3"/>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Description of format and objectives (max. 500 words) </w:t>
      </w:r>
    </w:p>
    <w:p w14:paraId="13DA3B71" w14:textId="288145CC" w:rsidR="00686040" w:rsidRDefault="372C8F5C" w:rsidP="372C8F5C">
      <w:pPr>
        <w:pStyle w:val="ListParagraph"/>
        <w:numPr>
          <w:ilvl w:val="0"/>
          <w:numId w:val="3"/>
        </w:numPr>
        <w:spacing w:after="0" w:line="240" w:lineRule="auto"/>
        <w:rPr>
          <w:rFonts w:ascii="Times New Roman" w:eastAsia="Times New Roman" w:hAnsi="Times New Roman" w:cs="Times New Roman"/>
          <w:lang w:val="en-GB"/>
        </w:rPr>
      </w:pPr>
      <w:r w:rsidRPr="372C8F5C">
        <w:rPr>
          <w:rFonts w:ascii="Times New Roman" w:eastAsia="Times New Roman" w:hAnsi="Times New Roman" w:cs="Times New Roman"/>
          <w:lang w:val="en-GB"/>
        </w:rPr>
        <w:t xml:space="preserve">Information on facilitators </w:t>
      </w:r>
    </w:p>
    <w:p w14:paraId="6E14BB95" w14:textId="71BA8823" w:rsidR="00686040" w:rsidRDefault="60C4CED6" w:rsidP="372C8F5C">
      <w:pPr>
        <w:spacing w:before="240" w:after="240" w:line="240" w:lineRule="auto"/>
        <w:rPr>
          <w:rFonts w:ascii="Times New Roman" w:eastAsia="Times New Roman" w:hAnsi="Times New Roman" w:cs="Times New Roman"/>
          <w:sz w:val="20"/>
          <w:szCs w:val="20"/>
          <w:lang w:val="en-GB"/>
        </w:rPr>
      </w:pPr>
      <w:r w:rsidRPr="60C4CED6">
        <w:rPr>
          <w:rFonts w:ascii="Times New Roman" w:eastAsia="Times New Roman" w:hAnsi="Times New Roman" w:cs="Times New Roman"/>
          <w:lang w:val="en-GB"/>
        </w:rPr>
        <w:t>Interactive and dialogue-based formats are strongly encouraged for Tracks 2 and 3.</w:t>
      </w:r>
    </w:p>
    <w:p w14:paraId="513AB1B1" w14:textId="40D7E389" w:rsidR="60C4CED6" w:rsidRDefault="60C4CED6" w:rsidP="60C4CED6">
      <w:pPr>
        <w:pStyle w:val="Heading2"/>
        <w:spacing w:before="299" w:after="299"/>
        <w:rPr>
          <w:rFonts w:ascii="Times New Roman" w:eastAsia="Times New Roman" w:hAnsi="Times New Roman" w:cs="Times New Roman"/>
          <w:b/>
          <w:bCs/>
          <w:sz w:val="28"/>
          <w:szCs w:val="28"/>
          <w:lang w:val="en-GB"/>
        </w:rPr>
      </w:pPr>
      <w:r w:rsidRPr="60C4CED6">
        <w:rPr>
          <w:rFonts w:ascii="Times New Roman" w:eastAsia="Times New Roman" w:hAnsi="Times New Roman" w:cs="Times New Roman"/>
          <w:b/>
          <w:bCs/>
          <w:sz w:val="28"/>
          <w:szCs w:val="28"/>
          <w:lang w:val="en-GB"/>
        </w:rPr>
        <w:t>Submission Process and Key Dates</w:t>
      </w:r>
    </w:p>
    <w:p w14:paraId="48B1E0AD" w14:textId="74C1B75B" w:rsidR="60C4CED6" w:rsidRDefault="60C4CED6" w:rsidP="60C4CED6">
      <w:pPr>
        <w:spacing w:before="240" w:after="240"/>
        <w:rPr>
          <w:rFonts w:ascii="Times New Roman" w:eastAsia="Times New Roman" w:hAnsi="Times New Roman" w:cs="Times New Roman"/>
          <w:sz w:val="20"/>
          <w:szCs w:val="20"/>
          <w:lang w:val="en-GB"/>
        </w:rPr>
      </w:pPr>
      <w:r w:rsidRPr="60C4CED6">
        <w:rPr>
          <w:rFonts w:ascii="Times New Roman" w:eastAsia="Times New Roman" w:hAnsi="Times New Roman" w:cs="Times New Roman"/>
          <w:lang w:val="en-GB"/>
        </w:rPr>
        <w:t>Proposals should be submitted in Armenian or English and must clearly indicate the relevant conference track (Research Track, Practice and Methodology Track, or Experiential Learning Track). All submissions will undergo a selection process based on quality, relevance to the conference themes, and the overall balance and diversity of perspectives.</w:t>
      </w:r>
    </w:p>
    <w:p w14:paraId="6B93A9D5" w14:textId="0F1B3D0B" w:rsidR="60C4CED6" w:rsidRDefault="60C4CED6" w:rsidP="60C4CED6">
      <w:pPr>
        <w:spacing w:before="240" w:after="240"/>
        <w:rPr>
          <w:rFonts w:ascii="Times New Roman" w:eastAsia="Times New Roman" w:hAnsi="Times New Roman" w:cs="Times New Roman"/>
          <w:sz w:val="20"/>
          <w:szCs w:val="20"/>
          <w:lang w:val="en-GB"/>
        </w:rPr>
      </w:pPr>
      <w:r w:rsidRPr="60C4CED6">
        <w:rPr>
          <w:rFonts w:ascii="Times New Roman" w:eastAsia="Times New Roman" w:hAnsi="Times New Roman" w:cs="Times New Roman"/>
          <w:lang w:val="en-GB"/>
        </w:rPr>
        <w:t xml:space="preserve">The deadline for submission is </w:t>
      </w:r>
      <w:r w:rsidRPr="60C4CED6">
        <w:rPr>
          <w:rFonts w:ascii="Times New Roman" w:eastAsia="Times New Roman" w:hAnsi="Times New Roman" w:cs="Times New Roman"/>
          <w:b/>
          <w:bCs/>
          <w:lang w:val="en-GB"/>
        </w:rPr>
        <w:t>June 15, 2026</w:t>
      </w:r>
      <w:r w:rsidRPr="60C4CED6">
        <w:rPr>
          <w:rFonts w:ascii="Times New Roman" w:eastAsia="Times New Roman" w:hAnsi="Times New Roman" w:cs="Times New Roman"/>
          <w:lang w:val="en-GB"/>
        </w:rPr>
        <w:t xml:space="preserve">, and applicants will be notified of the results by </w:t>
      </w:r>
      <w:r w:rsidRPr="60C4CED6">
        <w:rPr>
          <w:rFonts w:ascii="Times New Roman" w:eastAsia="Times New Roman" w:hAnsi="Times New Roman" w:cs="Times New Roman"/>
          <w:b/>
          <w:bCs/>
          <w:lang w:val="en-GB"/>
        </w:rPr>
        <w:t>August 1, 2026</w:t>
      </w:r>
      <w:r w:rsidRPr="60C4CED6">
        <w:rPr>
          <w:rFonts w:ascii="Times New Roman" w:eastAsia="Times New Roman" w:hAnsi="Times New Roman" w:cs="Times New Roman"/>
          <w:lang w:val="en-GB"/>
        </w:rPr>
        <w:t xml:space="preserve">. The conference will take place on </w:t>
      </w:r>
      <w:r w:rsidRPr="60C4CED6">
        <w:rPr>
          <w:rFonts w:ascii="Times New Roman" w:eastAsia="Times New Roman" w:hAnsi="Times New Roman" w:cs="Times New Roman"/>
          <w:b/>
          <w:bCs/>
          <w:lang w:val="en-GB"/>
        </w:rPr>
        <w:t>November 13–14, 2026</w:t>
      </w:r>
      <w:r w:rsidRPr="60C4CED6">
        <w:rPr>
          <w:rFonts w:ascii="Times New Roman" w:eastAsia="Times New Roman" w:hAnsi="Times New Roman" w:cs="Times New Roman"/>
          <w:lang w:val="en-GB"/>
        </w:rPr>
        <w:t xml:space="preserve"> in Yerevan, Armenia.</w:t>
      </w:r>
    </w:p>
    <w:p w14:paraId="6DE2CF21" w14:textId="2FD9B94B" w:rsidR="60C4CED6" w:rsidRDefault="60C4CED6" w:rsidP="60C4CED6">
      <w:pPr>
        <w:spacing w:before="240" w:after="240"/>
        <w:rPr>
          <w:rFonts w:ascii="Times New Roman" w:eastAsia="Times New Roman" w:hAnsi="Times New Roman" w:cs="Times New Roman"/>
          <w:lang w:val="en-GB"/>
        </w:rPr>
      </w:pPr>
      <w:r w:rsidRPr="60C4CED6">
        <w:rPr>
          <w:rFonts w:ascii="Times New Roman" w:eastAsia="Times New Roman" w:hAnsi="Times New Roman" w:cs="Times New Roman"/>
          <w:lang w:val="en-GB"/>
        </w:rPr>
        <w:lastRenderedPageBreak/>
        <w:t xml:space="preserve">Proposals should be sent via email to </w:t>
      </w:r>
      <w:hyperlink r:id="rId12">
        <w:r w:rsidRPr="60C4CED6">
          <w:rPr>
            <w:rStyle w:val="Hyperlink"/>
            <w:rFonts w:ascii="Times New Roman" w:eastAsia="Times New Roman" w:hAnsi="Times New Roman" w:cs="Times New Roman"/>
            <w:lang w:val="en-GB"/>
          </w:rPr>
          <w:t>office.yerevan@rwi.lu.se</w:t>
        </w:r>
      </w:hyperlink>
      <w:r w:rsidRPr="60C4CED6">
        <w:rPr>
          <w:rFonts w:ascii="Times New Roman" w:eastAsia="Times New Roman" w:hAnsi="Times New Roman" w:cs="Times New Roman"/>
          <w:lang w:val="en-GB"/>
        </w:rPr>
        <w:t xml:space="preserve"> with a copy sent to arman.gasparyan@rwi.lu.se. For any questions regarding the submission process or the conference, applicants may contact </w:t>
      </w:r>
      <w:hyperlink r:id="rId13">
        <w:r w:rsidRPr="60C4CED6">
          <w:rPr>
            <w:rStyle w:val="Hyperlink"/>
            <w:rFonts w:ascii="Times New Roman" w:eastAsia="Times New Roman" w:hAnsi="Times New Roman" w:cs="Times New Roman"/>
            <w:lang w:val="en-GB"/>
          </w:rPr>
          <w:t>arman.gasparyan@rwi.lu.se</w:t>
        </w:r>
      </w:hyperlink>
      <w:r w:rsidRPr="60C4CED6">
        <w:rPr>
          <w:rFonts w:ascii="Times New Roman" w:eastAsia="Times New Roman" w:hAnsi="Times New Roman" w:cs="Times New Roman"/>
          <w:lang w:val="en-GB"/>
        </w:rPr>
        <w:t xml:space="preserve">. </w:t>
      </w:r>
    </w:p>
    <w:p w14:paraId="1C7EB96B" w14:textId="6834930C" w:rsidR="60C4CED6" w:rsidRDefault="60C4CED6" w:rsidP="60C4CED6">
      <w:pPr>
        <w:spacing w:beforeAutospacing="1" w:afterAutospacing="1" w:line="240" w:lineRule="auto"/>
        <w:rPr>
          <w:rFonts w:ascii="Times New Roman" w:eastAsia="Times New Roman" w:hAnsi="Times New Roman" w:cs="Times New Roman"/>
          <w:b/>
          <w:bCs/>
          <w:sz w:val="24"/>
          <w:szCs w:val="24"/>
          <w:lang w:val="en-GB"/>
        </w:rPr>
      </w:pPr>
    </w:p>
    <w:sectPr w:rsidR="60C4CED6">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aura Milne" w:date="2026-04-17T11:00:00Z" w:initials="LM">
    <w:p w14:paraId="2F464D21" w14:textId="6F350D6D" w:rsidR="003C46C8" w:rsidRDefault="00000000">
      <w:pPr>
        <w:pStyle w:val="CommentText"/>
      </w:pPr>
      <w:r>
        <w:rPr>
          <w:rStyle w:val="CommentReference"/>
        </w:rPr>
        <w:annotationRef/>
      </w:r>
      <w:r w:rsidRPr="74537989">
        <w:t>I suggest we add migration, refugees, asylum, trafficking related reform as a topic. This will complement our anticipated ICMPD work but leaves door wide open to align this conference with the EU call, should we be successful.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464D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C49CA8" w16cex:dateUtc="2026-04-17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464D21" w16cid:durableId="78C49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41D6" w14:textId="77777777" w:rsidR="00CA5347" w:rsidRDefault="00CA5347" w:rsidP="00527810">
      <w:pPr>
        <w:spacing w:after="0" w:line="240" w:lineRule="auto"/>
      </w:pPr>
      <w:r>
        <w:separator/>
      </w:r>
    </w:p>
  </w:endnote>
  <w:endnote w:type="continuationSeparator" w:id="0">
    <w:p w14:paraId="412AF449" w14:textId="77777777" w:rsidR="00CA5347" w:rsidRDefault="00CA5347" w:rsidP="0052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5479D" w14:textId="77777777" w:rsidR="00CA5347" w:rsidRDefault="00CA5347" w:rsidP="00527810">
      <w:pPr>
        <w:spacing w:after="0" w:line="240" w:lineRule="auto"/>
      </w:pPr>
      <w:r>
        <w:separator/>
      </w:r>
    </w:p>
  </w:footnote>
  <w:footnote w:type="continuationSeparator" w:id="0">
    <w:p w14:paraId="5720CE25" w14:textId="77777777" w:rsidR="00CA5347" w:rsidRDefault="00CA5347" w:rsidP="00527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6CBB9" w14:textId="50691EF5" w:rsidR="00527810" w:rsidRDefault="00527810" w:rsidP="00527810">
    <w:pPr>
      <w:pStyle w:val="Header"/>
      <w:tabs>
        <w:tab w:val="clear" w:pos="9360"/>
        <w:tab w:val="right" w:pos="8640"/>
      </w:tabs>
    </w:pPr>
    <w:r>
      <w:tab/>
    </w:r>
    <w:r>
      <w:tab/>
    </w:r>
  </w:p>
  <w:p w14:paraId="1DF97E1F" w14:textId="2119BBE0" w:rsidR="00527810" w:rsidRDefault="00527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AE5"/>
    <w:multiLevelType w:val="multilevel"/>
    <w:tmpl w:val="4D4E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019FB"/>
    <w:multiLevelType w:val="multilevel"/>
    <w:tmpl w:val="AA867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304C1"/>
    <w:multiLevelType w:val="multilevel"/>
    <w:tmpl w:val="0F46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B6138"/>
    <w:multiLevelType w:val="hybridMultilevel"/>
    <w:tmpl w:val="FA7A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1191D"/>
    <w:multiLevelType w:val="hybridMultilevel"/>
    <w:tmpl w:val="28BA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D7886"/>
    <w:multiLevelType w:val="hybridMultilevel"/>
    <w:tmpl w:val="0DAA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B7669"/>
    <w:multiLevelType w:val="hybridMultilevel"/>
    <w:tmpl w:val="5FDAB7D6"/>
    <w:lvl w:ilvl="0" w:tplc="FBDA9780">
      <w:start w:val="1"/>
      <w:numFmt w:val="bullet"/>
      <w:lvlText w:val=""/>
      <w:lvlJc w:val="left"/>
      <w:pPr>
        <w:ind w:left="720" w:hanging="360"/>
      </w:pPr>
      <w:rPr>
        <w:rFonts w:ascii="Symbol" w:hAnsi="Symbol" w:hint="default"/>
      </w:rPr>
    </w:lvl>
    <w:lvl w:ilvl="1" w:tplc="94A4D0D0">
      <w:start w:val="1"/>
      <w:numFmt w:val="bullet"/>
      <w:lvlText w:val="o"/>
      <w:lvlJc w:val="left"/>
      <w:pPr>
        <w:ind w:left="1440" w:hanging="360"/>
      </w:pPr>
      <w:rPr>
        <w:rFonts w:ascii="Courier New" w:hAnsi="Courier New" w:hint="default"/>
      </w:rPr>
    </w:lvl>
    <w:lvl w:ilvl="2" w:tplc="5C92D7EA">
      <w:start w:val="1"/>
      <w:numFmt w:val="bullet"/>
      <w:lvlText w:val=""/>
      <w:lvlJc w:val="left"/>
      <w:pPr>
        <w:ind w:left="2160" w:hanging="360"/>
      </w:pPr>
      <w:rPr>
        <w:rFonts w:ascii="Wingdings" w:hAnsi="Wingdings" w:hint="default"/>
      </w:rPr>
    </w:lvl>
    <w:lvl w:ilvl="3" w:tplc="E370C698">
      <w:start w:val="1"/>
      <w:numFmt w:val="bullet"/>
      <w:lvlText w:val=""/>
      <w:lvlJc w:val="left"/>
      <w:pPr>
        <w:ind w:left="2880" w:hanging="360"/>
      </w:pPr>
      <w:rPr>
        <w:rFonts w:ascii="Symbol" w:hAnsi="Symbol" w:hint="default"/>
      </w:rPr>
    </w:lvl>
    <w:lvl w:ilvl="4" w:tplc="31D06CA2">
      <w:start w:val="1"/>
      <w:numFmt w:val="bullet"/>
      <w:lvlText w:val="o"/>
      <w:lvlJc w:val="left"/>
      <w:pPr>
        <w:ind w:left="3600" w:hanging="360"/>
      </w:pPr>
      <w:rPr>
        <w:rFonts w:ascii="Courier New" w:hAnsi="Courier New" w:hint="default"/>
      </w:rPr>
    </w:lvl>
    <w:lvl w:ilvl="5" w:tplc="F752AD30">
      <w:start w:val="1"/>
      <w:numFmt w:val="bullet"/>
      <w:lvlText w:val=""/>
      <w:lvlJc w:val="left"/>
      <w:pPr>
        <w:ind w:left="4320" w:hanging="360"/>
      </w:pPr>
      <w:rPr>
        <w:rFonts w:ascii="Wingdings" w:hAnsi="Wingdings" w:hint="default"/>
      </w:rPr>
    </w:lvl>
    <w:lvl w:ilvl="6" w:tplc="AD8C7B18">
      <w:start w:val="1"/>
      <w:numFmt w:val="bullet"/>
      <w:lvlText w:val=""/>
      <w:lvlJc w:val="left"/>
      <w:pPr>
        <w:ind w:left="5040" w:hanging="360"/>
      </w:pPr>
      <w:rPr>
        <w:rFonts w:ascii="Symbol" w:hAnsi="Symbol" w:hint="default"/>
      </w:rPr>
    </w:lvl>
    <w:lvl w:ilvl="7" w:tplc="B7C0DA4E">
      <w:start w:val="1"/>
      <w:numFmt w:val="bullet"/>
      <w:lvlText w:val="o"/>
      <w:lvlJc w:val="left"/>
      <w:pPr>
        <w:ind w:left="5760" w:hanging="360"/>
      </w:pPr>
      <w:rPr>
        <w:rFonts w:ascii="Courier New" w:hAnsi="Courier New" w:hint="default"/>
      </w:rPr>
    </w:lvl>
    <w:lvl w:ilvl="8" w:tplc="818EB6F4">
      <w:start w:val="1"/>
      <w:numFmt w:val="bullet"/>
      <w:lvlText w:val=""/>
      <w:lvlJc w:val="left"/>
      <w:pPr>
        <w:ind w:left="6480" w:hanging="360"/>
      </w:pPr>
      <w:rPr>
        <w:rFonts w:ascii="Wingdings" w:hAnsi="Wingdings" w:hint="default"/>
      </w:rPr>
    </w:lvl>
  </w:abstractNum>
  <w:abstractNum w:abstractNumId="7" w15:restartNumberingAfterBreak="0">
    <w:nsid w:val="3CA00E87"/>
    <w:multiLevelType w:val="multilevel"/>
    <w:tmpl w:val="098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FDA0B"/>
    <w:multiLevelType w:val="hybridMultilevel"/>
    <w:tmpl w:val="55089574"/>
    <w:lvl w:ilvl="0" w:tplc="1DEA02DA">
      <w:start w:val="1"/>
      <w:numFmt w:val="bullet"/>
      <w:lvlText w:val=""/>
      <w:lvlJc w:val="left"/>
      <w:pPr>
        <w:ind w:left="720" w:hanging="360"/>
      </w:pPr>
      <w:rPr>
        <w:rFonts w:ascii="Symbol" w:hAnsi="Symbol" w:hint="default"/>
      </w:rPr>
    </w:lvl>
    <w:lvl w:ilvl="1" w:tplc="A8648582">
      <w:start w:val="1"/>
      <w:numFmt w:val="bullet"/>
      <w:lvlText w:val="o"/>
      <w:lvlJc w:val="left"/>
      <w:pPr>
        <w:ind w:left="1440" w:hanging="360"/>
      </w:pPr>
      <w:rPr>
        <w:rFonts w:ascii="Courier New" w:hAnsi="Courier New" w:hint="default"/>
      </w:rPr>
    </w:lvl>
    <w:lvl w:ilvl="2" w:tplc="3E3A7FFA">
      <w:start w:val="1"/>
      <w:numFmt w:val="bullet"/>
      <w:lvlText w:val=""/>
      <w:lvlJc w:val="left"/>
      <w:pPr>
        <w:ind w:left="2160" w:hanging="360"/>
      </w:pPr>
      <w:rPr>
        <w:rFonts w:ascii="Wingdings" w:hAnsi="Wingdings" w:hint="default"/>
      </w:rPr>
    </w:lvl>
    <w:lvl w:ilvl="3" w:tplc="2E90C48A">
      <w:start w:val="1"/>
      <w:numFmt w:val="bullet"/>
      <w:lvlText w:val=""/>
      <w:lvlJc w:val="left"/>
      <w:pPr>
        <w:ind w:left="2880" w:hanging="360"/>
      </w:pPr>
      <w:rPr>
        <w:rFonts w:ascii="Symbol" w:hAnsi="Symbol" w:hint="default"/>
      </w:rPr>
    </w:lvl>
    <w:lvl w:ilvl="4" w:tplc="819002A6">
      <w:start w:val="1"/>
      <w:numFmt w:val="bullet"/>
      <w:lvlText w:val="o"/>
      <w:lvlJc w:val="left"/>
      <w:pPr>
        <w:ind w:left="3600" w:hanging="360"/>
      </w:pPr>
      <w:rPr>
        <w:rFonts w:ascii="Courier New" w:hAnsi="Courier New" w:hint="default"/>
      </w:rPr>
    </w:lvl>
    <w:lvl w:ilvl="5" w:tplc="F2483B00">
      <w:start w:val="1"/>
      <w:numFmt w:val="bullet"/>
      <w:lvlText w:val=""/>
      <w:lvlJc w:val="left"/>
      <w:pPr>
        <w:ind w:left="4320" w:hanging="360"/>
      </w:pPr>
      <w:rPr>
        <w:rFonts w:ascii="Wingdings" w:hAnsi="Wingdings" w:hint="default"/>
      </w:rPr>
    </w:lvl>
    <w:lvl w:ilvl="6" w:tplc="C250F720">
      <w:start w:val="1"/>
      <w:numFmt w:val="bullet"/>
      <w:lvlText w:val=""/>
      <w:lvlJc w:val="left"/>
      <w:pPr>
        <w:ind w:left="5040" w:hanging="360"/>
      </w:pPr>
      <w:rPr>
        <w:rFonts w:ascii="Symbol" w:hAnsi="Symbol" w:hint="default"/>
      </w:rPr>
    </w:lvl>
    <w:lvl w:ilvl="7" w:tplc="2C2868E6">
      <w:start w:val="1"/>
      <w:numFmt w:val="bullet"/>
      <w:lvlText w:val="o"/>
      <w:lvlJc w:val="left"/>
      <w:pPr>
        <w:ind w:left="5760" w:hanging="360"/>
      </w:pPr>
      <w:rPr>
        <w:rFonts w:ascii="Courier New" w:hAnsi="Courier New" w:hint="default"/>
      </w:rPr>
    </w:lvl>
    <w:lvl w:ilvl="8" w:tplc="D3B8C684">
      <w:start w:val="1"/>
      <w:numFmt w:val="bullet"/>
      <w:lvlText w:val=""/>
      <w:lvlJc w:val="left"/>
      <w:pPr>
        <w:ind w:left="6480" w:hanging="360"/>
      </w:pPr>
      <w:rPr>
        <w:rFonts w:ascii="Wingdings" w:hAnsi="Wingdings" w:hint="default"/>
      </w:rPr>
    </w:lvl>
  </w:abstractNum>
  <w:abstractNum w:abstractNumId="9" w15:restartNumberingAfterBreak="0">
    <w:nsid w:val="6432300C"/>
    <w:multiLevelType w:val="multilevel"/>
    <w:tmpl w:val="DCC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78336"/>
    <w:multiLevelType w:val="hybridMultilevel"/>
    <w:tmpl w:val="79CE5392"/>
    <w:lvl w:ilvl="0" w:tplc="6F708194">
      <w:start w:val="1"/>
      <w:numFmt w:val="bullet"/>
      <w:lvlText w:val=""/>
      <w:lvlJc w:val="left"/>
      <w:pPr>
        <w:ind w:left="720" w:hanging="360"/>
      </w:pPr>
      <w:rPr>
        <w:rFonts w:ascii="Symbol" w:hAnsi="Symbol" w:hint="default"/>
      </w:rPr>
    </w:lvl>
    <w:lvl w:ilvl="1" w:tplc="A152424C">
      <w:start w:val="1"/>
      <w:numFmt w:val="bullet"/>
      <w:lvlText w:val="o"/>
      <w:lvlJc w:val="left"/>
      <w:pPr>
        <w:ind w:left="1440" w:hanging="360"/>
      </w:pPr>
      <w:rPr>
        <w:rFonts w:ascii="Courier New" w:hAnsi="Courier New" w:hint="default"/>
      </w:rPr>
    </w:lvl>
    <w:lvl w:ilvl="2" w:tplc="B36A81FA">
      <w:start w:val="1"/>
      <w:numFmt w:val="bullet"/>
      <w:lvlText w:val=""/>
      <w:lvlJc w:val="left"/>
      <w:pPr>
        <w:ind w:left="2160" w:hanging="360"/>
      </w:pPr>
      <w:rPr>
        <w:rFonts w:ascii="Wingdings" w:hAnsi="Wingdings" w:hint="default"/>
      </w:rPr>
    </w:lvl>
    <w:lvl w:ilvl="3" w:tplc="B4F49ECA">
      <w:start w:val="1"/>
      <w:numFmt w:val="bullet"/>
      <w:lvlText w:val=""/>
      <w:lvlJc w:val="left"/>
      <w:pPr>
        <w:ind w:left="2880" w:hanging="360"/>
      </w:pPr>
      <w:rPr>
        <w:rFonts w:ascii="Symbol" w:hAnsi="Symbol" w:hint="default"/>
      </w:rPr>
    </w:lvl>
    <w:lvl w:ilvl="4" w:tplc="3F147444">
      <w:start w:val="1"/>
      <w:numFmt w:val="bullet"/>
      <w:lvlText w:val="o"/>
      <w:lvlJc w:val="left"/>
      <w:pPr>
        <w:ind w:left="3600" w:hanging="360"/>
      </w:pPr>
      <w:rPr>
        <w:rFonts w:ascii="Courier New" w:hAnsi="Courier New" w:hint="default"/>
      </w:rPr>
    </w:lvl>
    <w:lvl w:ilvl="5" w:tplc="CDAAA3AA">
      <w:start w:val="1"/>
      <w:numFmt w:val="bullet"/>
      <w:lvlText w:val=""/>
      <w:lvlJc w:val="left"/>
      <w:pPr>
        <w:ind w:left="4320" w:hanging="360"/>
      </w:pPr>
      <w:rPr>
        <w:rFonts w:ascii="Wingdings" w:hAnsi="Wingdings" w:hint="default"/>
      </w:rPr>
    </w:lvl>
    <w:lvl w:ilvl="6" w:tplc="493CE744">
      <w:start w:val="1"/>
      <w:numFmt w:val="bullet"/>
      <w:lvlText w:val=""/>
      <w:lvlJc w:val="left"/>
      <w:pPr>
        <w:ind w:left="5040" w:hanging="360"/>
      </w:pPr>
      <w:rPr>
        <w:rFonts w:ascii="Symbol" w:hAnsi="Symbol" w:hint="default"/>
      </w:rPr>
    </w:lvl>
    <w:lvl w:ilvl="7" w:tplc="A52CFEC6">
      <w:start w:val="1"/>
      <w:numFmt w:val="bullet"/>
      <w:lvlText w:val="o"/>
      <w:lvlJc w:val="left"/>
      <w:pPr>
        <w:ind w:left="5760" w:hanging="360"/>
      </w:pPr>
      <w:rPr>
        <w:rFonts w:ascii="Courier New" w:hAnsi="Courier New" w:hint="default"/>
      </w:rPr>
    </w:lvl>
    <w:lvl w:ilvl="8" w:tplc="7B38909C">
      <w:start w:val="1"/>
      <w:numFmt w:val="bullet"/>
      <w:lvlText w:val=""/>
      <w:lvlJc w:val="left"/>
      <w:pPr>
        <w:ind w:left="6480" w:hanging="360"/>
      </w:pPr>
      <w:rPr>
        <w:rFonts w:ascii="Wingdings" w:hAnsi="Wingdings" w:hint="default"/>
      </w:rPr>
    </w:lvl>
  </w:abstractNum>
  <w:abstractNum w:abstractNumId="11" w15:restartNumberingAfterBreak="0">
    <w:nsid w:val="66424839"/>
    <w:multiLevelType w:val="multilevel"/>
    <w:tmpl w:val="A4026BF0"/>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E2F4EC7"/>
    <w:multiLevelType w:val="multilevel"/>
    <w:tmpl w:val="D09A5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F27DFF"/>
    <w:multiLevelType w:val="hybridMultilevel"/>
    <w:tmpl w:val="09B6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D263C"/>
    <w:multiLevelType w:val="hybridMultilevel"/>
    <w:tmpl w:val="4DC631D4"/>
    <w:lvl w:ilvl="0" w:tplc="03FA03DA">
      <w:start w:val="1"/>
      <w:numFmt w:val="bullet"/>
      <w:lvlText w:val=""/>
      <w:lvlJc w:val="left"/>
      <w:pPr>
        <w:ind w:left="720" w:hanging="360"/>
      </w:pPr>
      <w:rPr>
        <w:rFonts w:ascii="Symbol" w:hAnsi="Symbol" w:hint="default"/>
      </w:rPr>
    </w:lvl>
    <w:lvl w:ilvl="1" w:tplc="FFDA0A68">
      <w:start w:val="1"/>
      <w:numFmt w:val="bullet"/>
      <w:lvlText w:val="o"/>
      <w:lvlJc w:val="left"/>
      <w:pPr>
        <w:ind w:left="1440" w:hanging="360"/>
      </w:pPr>
      <w:rPr>
        <w:rFonts w:ascii="Courier New" w:hAnsi="Courier New" w:hint="default"/>
      </w:rPr>
    </w:lvl>
    <w:lvl w:ilvl="2" w:tplc="B2CCBAE4">
      <w:start w:val="1"/>
      <w:numFmt w:val="bullet"/>
      <w:lvlText w:val=""/>
      <w:lvlJc w:val="left"/>
      <w:pPr>
        <w:ind w:left="2160" w:hanging="360"/>
      </w:pPr>
      <w:rPr>
        <w:rFonts w:ascii="Wingdings" w:hAnsi="Wingdings" w:hint="default"/>
      </w:rPr>
    </w:lvl>
    <w:lvl w:ilvl="3" w:tplc="771E42D6">
      <w:start w:val="1"/>
      <w:numFmt w:val="bullet"/>
      <w:lvlText w:val=""/>
      <w:lvlJc w:val="left"/>
      <w:pPr>
        <w:ind w:left="2880" w:hanging="360"/>
      </w:pPr>
      <w:rPr>
        <w:rFonts w:ascii="Symbol" w:hAnsi="Symbol" w:hint="default"/>
      </w:rPr>
    </w:lvl>
    <w:lvl w:ilvl="4" w:tplc="6130089A">
      <w:start w:val="1"/>
      <w:numFmt w:val="bullet"/>
      <w:lvlText w:val="o"/>
      <w:lvlJc w:val="left"/>
      <w:pPr>
        <w:ind w:left="3600" w:hanging="360"/>
      </w:pPr>
      <w:rPr>
        <w:rFonts w:ascii="Courier New" w:hAnsi="Courier New" w:hint="default"/>
      </w:rPr>
    </w:lvl>
    <w:lvl w:ilvl="5" w:tplc="7884FDF6">
      <w:start w:val="1"/>
      <w:numFmt w:val="bullet"/>
      <w:lvlText w:val=""/>
      <w:lvlJc w:val="left"/>
      <w:pPr>
        <w:ind w:left="4320" w:hanging="360"/>
      </w:pPr>
      <w:rPr>
        <w:rFonts w:ascii="Wingdings" w:hAnsi="Wingdings" w:hint="default"/>
      </w:rPr>
    </w:lvl>
    <w:lvl w:ilvl="6" w:tplc="865E6580">
      <w:start w:val="1"/>
      <w:numFmt w:val="bullet"/>
      <w:lvlText w:val=""/>
      <w:lvlJc w:val="left"/>
      <w:pPr>
        <w:ind w:left="5040" w:hanging="360"/>
      </w:pPr>
      <w:rPr>
        <w:rFonts w:ascii="Symbol" w:hAnsi="Symbol" w:hint="default"/>
      </w:rPr>
    </w:lvl>
    <w:lvl w:ilvl="7" w:tplc="34D66146">
      <w:start w:val="1"/>
      <w:numFmt w:val="bullet"/>
      <w:lvlText w:val="o"/>
      <w:lvlJc w:val="left"/>
      <w:pPr>
        <w:ind w:left="5760" w:hanging="360"/>
      </w:pPr>
      <w:rPr>
        <w:rFonts w:ascii="Courier New" w:hAnsi="Courier New" w:hint="default"/>
      </w:rPr>
    </w:lvl>
    <w:lvl w:ilvl="8" w:tplc="2A94B720">
      <w:start w:val="1"/>
      <w:numFmt w:val="bullet"/>
      <w:lvlText w:val=""/>
      <w:lvlJc w:val="left"/>
      <w:pPr>
        <w:ind w:left="6480" w:hanging="360"/>
      </w:pPr>
      <w:rPr>
        <w:rFonts w:ascii="Wingdings" w:hAnsi="Wingdings" w:hint="default"/>
      </w:rPr>
    </w:lvl>
  </w:abstractNum>
  <w:abstractNum w:abstractNumId="15" w15:restartNumberingAfterBreak="0">
    <w:nsid w:val="7B839D93"/>
    <w:multiLevelType w:val="hybridMultilevel"/>
    <w:tmpl w:val="17B2556A"/>
    <w:lvl w:ilvl="0" w:tplc="21CAA822">
      <w:start w:val="1"/>
      <w:numFmt w:val="bullet"/>
      <w:lvlText w:val=""/>
      <w:lvlJc w:val="left"/>
      <w:pPr>
        <w:ind w:left="720" w:hanging="360"/>
      </w:pPr>
      <w:rPr>
        <w:rFonts w:ascii="Symbol" w:hAnsi="Symbol" w:hint="default"/>
      </w:rPr>
    </w:lvl>
    <w:lvl w:ilvl="1" w:tplc="99586F1C">
      <w:start w:val="1"/>
      <w:numFmt w:val="bullet"/>
      <w:lvlText w:val="o"/>
      <w:lvlJc w:val="left"/>
      <w:pPr>
        <w:ind w:left="1440" w:hanging="360"/>
      </w:pPr>
      <w:rPr>
        <w:rFonts w:ascii="Courier New" w:hAnsi="Courier New" w:hint="default"/>
      </w:rPr>
    </w:lvl>
    <w:lvl w:ilvl="2" w:tplc="00BEEFB0">
      <w:start w:val="1"/>
      <w:numFmt w:val="bullet"/>
      <w:lvlText w:val=""/>
      <w:lvlJc w:val="left"/>
      <w:pPr>
        <w:ind w:left="2160" w:hanging="360"/>
      </w:pPr>
      <w:rPr>
        <w:rFonts w:ascii="Wingdings" w:hAnsi="Wingdings" w:hint="default"/>
      </w:rPr>
    </w:lvl>
    <w:lvl w:ilvl="3" w:tplc="C7C8F4FA">
      <w:start w:val="1"/>
      <w:numFmt w:val="bullet"/>
      <w:lvlText w:val=""/>
      <w:lvlJc w:val="left"/>
      <w:pPr>
        <w:ind w:left="2880" w:hanging="360"/>
      </w:pPr>
      <w:rPr>
        <w:rFonts w:ascii="Symbol" w:hAnsi="Symbol" w:hint="default"/>
      </w:rPr>
    </w:lvl>
    <w:lvl w:ilvl="4" w:tplc="A7607F0A">
      <w:start w:val="1"/>
      <w:numFmt w:val="bullet"/>
      <w:lvlText w:val="o"/>
      <w:lvlJc w:val="left"/>
      <w:pPr>
        <w:ind w:left="3600" w:hanging="360"/>
      </w:pPr>
      <w:rPr>
        <w:rFonts w:ascii="Courier New" w:hAnsi="Courier New" w:hint="default"/>
      </w:rPr>
    </w:lvl>
    <w:lvl w:ilvl="5" w:tplc="0298C290">
      <w:start w:val="1"/>
      <w:numFmt w:val="bullet"/>
      <w:lvlText w:val=""/>
      <w:lvlJc w:val="left"/>
      <w:pPr>
        <w:ind w:left="4320" w:hanging="360"/>
      </w:pPr>
      <w:rPr>
        <w:rFonts w:ascii="Wingdings" w:hAnsi="Wingdings" w:hint="default"/>
      </w:rPr>
    </w:lvl>
    <w:lvl w:ilvl="6" w:tplc="98F43892">
      <w:start w:val="1"/>
      <w:numFmt w:val="bullet"/>
      <w:lvlText w:val=""/>
      <w:lvlJc w:val="left"/>
      <w:pPr>
        <w:ind w:left="5040" w:hanging="360"/>
      </w:pPr>
      <w:rPr>
        <w:rFonts w:ascii="Symbol" w:hAnsi="Symbol" w:hint="default"/>
      </w:rPr>
    </w:lvl>
    <w:lvl w:ilvl="7" w:tplc="A7A26CF8">
      <w:start w:val="1"/>
      <w:numFmt w:val="bullet"/>
      <w:lvlText w:val="o"/>
      <w:lvlJc w:val="left"/>
      <w:pPr>
        <w:ind w:left="5760" w:hanging="360"/>
      </w:pPr>
      <w:rPr>
        <w:rFonts w:ascii="Courier New" w:hAnsi="Courier New" w:hint="default"/>
      </w:rPr>
    </w:lvl>
    <w:lvl w:ilvl="8" w:tplc="E052671C">
      <w:start w:val="1"/>
      <w:numFmt w:val="bullet"/>
      <w:lvlText w:val=""/>
      <w:lvlJc w:val="left"/>
      <w:pPr>
        <w:ind w:left="6480" w:hanging="360"/>
      </w:pPr>
      <w:rPr>
        <w:rFonts w:ascii="Wingdings" w:hAnsi="Wingdings" w:hint="default"/>
      </w:rPr>
    </w:lvl>
  </w:abstractNum>
  <w:num w:numId="1" w16cid:durableId="295331220">
    <w:abstractNumId w:val="8"/>
  </w:num>
  <w:num w:numId="2" w16cid:durableId="430782563">
    <w:abstractNumId w:val="15"/>
  </w:num>
  <w:num w:numId="3" w16cid:durableId="1374186605">
    <w:abstractNumId w:val="14"/>
  </w:num>
  <w:num w:numId="4" w16cid:durableId="1406875200">
    <w:abstractNumId w:val="10"/>
  </w:num>
  <w:num w:numId="5" w16cid:durableId="2006853592">
    <w:abstractNumId w:val="6"/>
  </w:num>
  <w:num w:numId="6" w16cid:durableId="1800413446">
    <w:abstractNumId w:val="12"/>
  </w:num>
  <w:num w:numId="7" w16cid:durableId="1143890379">
    <w:abstractNumId w:val="1"/>
  </w:num>
  <w:num w:numId="8" w16cid:durableId="691228762">
    <w:abstractNumId w:val="0"/>
  </w:num>
  <w:num w:numId="9" w16cid:durableId="1934586187">
    <w:abstractNumId w:val="7"/>
  </w:num>
  <w:num w:numId="10" w16cid:durableId="2120879974">
    <w:abstractNumId w:val="5"/>
  </w:num>
  <w:num w:numId="11" w16cid:durableId="537163465">
    <w:abstractNumId w:val="4"/>
  </w:num>
  <w:num w:numId="12" w16cid:durableId="1712421120">
    <w:abstractNumId w:val="13"/>
  </w:num>
  <w:num w:numId="13" w16cid:durableId="696545139">
    <w:abstractNumId w:val="11"/>
  </w:num>
  <w:num w:numId="14" w16cid:durableId="893277283">
    <w:abstractNumId w:val="3"/>
  </w:num>
  <w:num w:numId="15" w16cid:durableId="1263222962">
    <w:abstractNumId w:val="9"/>
  </w:num>
  <w:num w:numId="16" w16cid:durableId="2009939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C6"/>
    <w:rsid w:val="0001522B"/>
    <w:rsid w:val="0005219C"/>
    <w:rsid w:val="00060B24"/>
    <w:rsid w:val="00061A93"/>
    <w:rsid w:val="000B08BF"/>
    <w:rsid w:val="000D3748"/>
    <w:rsid w:val="000D4A3E"/>
    <w:rsid w:val="00110CEA"/>
    <w:rsid w:val="00147922"/>
    <w:rsid w:val="001E5D37"/>
    <w:rsid w:val="00257883"/>
    <w:rsid w:val="002D358B"/>
    <w:rsid w:val="00353BCC"/>
    <w:rsid w:val="003608CC"/>
    <w:rsid w:val="003C46C8"/>
    <w:rsid w:val="003D1322"/>
    <w:rsid w:val="00423293"/>
    <w:rsid w:val="0042754B"/>
    <w:rsid w:val="004A07C2"/>
    <w:rsid w:val="004B19BB"/>
    <w:rsid w:val="004E0646"/>
    <w:rsid w:val="004E0DB8"/>
    <w:rsid w:val="00527810"/>
    <w:rsid w:val="005471F5"/>
    <w:rsid w:val="00581CBF"/>
    <w:rsid w:val="005929A6"/>
    <w:rsid w:val="006235CD"/>
    <w:rsid w:val="0067492E"/>
    <w:rsid w:val="00686040"/>
    <w:rsid w:val="006A2EC6"/>
    <w:rsid w:val="006B51E0"/>
    <w:rsid w:val="006D32AC"/>
    <w:rsid w:val="00714BD6"/>
    <w:rsid w:val="00754114"/>
    <w:rsid w:val="00783BA2"/>
    <w:rsid w:val="00876277"/>
    <w:rsid w:val="008862E6"/>
    <w:rsid w:val="00887F9B"/>
    <w:rsid w:val="008911B3"/>
    <w:rsid w:val="008B5166"/>
    <w:rsid w:val="00903B5A"/>
    <w:rsid w:val="0093069F"/>
    <w:rsid w:val="009D075B"/>
    <w:rsid w:val="00A344D0"/>
    <w:rsid w:val="00AA64E9"/>
    <w:rsid w:val="00AB2F6B"/>
    <w:rsid w:val="00AB383F"/>
    <w:rsid w:val="00AC1550"/>
    <w:rsid w:val="00AD23FE"/>
    <w:rsid w:val="00AE608B"/>
    <w:rsid w:val="00AE79E9"/>
    <w:rsid w:val="00B27079"/>
    <w:rsid w:val="00B44A30"/>
    <w:rsid w:val="00B63427"/>
    <w:rsid w:val="00B85AAD"/>
    <w:rsid w:val="00B8797A"/>
    <w:rsid w:val="00BB34CE"/>
    <w:rsid w:val="00CA5347"/>
    <w:rsid w:val="00D221B1"/>
    <w:rsid w:val="00D50687"/>
    <w:rsid w:val="00D90071"/>
    <w:rsid w:val="00DC1A5D"/>
    <w:rsid w:val="00EA37C2"/>
    <w:rsid w:val="00F0209C"/>
    <w:rsid w:val="00F056C0"/>
    <w:rsid w:val="00F5543A"/>
    <w:rsid w:val="00F633E2"/>
    <w:rsid w:val="04656B24"/>
    <w:rsid w:val="0F9DF339"/>
    <w:rsid w:val="1C309905"/>
    <w:rsid w:val="2DDCF952"/>
    <w:rsid w:val="372C8F5C"/>
    <w:rsid w:val="54BB31D3"/>
    <w:rsid w:val="60C4CED6"/>
    <w:rsid w:val="62DB89B1"/>
    <w:rsid w:val="6D34A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B3AA"/>
  <w15:chartTrackingRefBased/>
  <w15:docId w15:val="{E6BDF832-5DAA-4335-A3BD-E79A85BD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2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2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A2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2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2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A2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EC6"/>
    <w:rPr>
      <w:rFonts w:eastAsiaTheme="majorEastAsia" w:cstheme="majorBidi"/>
      <w:color w:val="272727" w:themeColor="text1" w:themeTint="D8"/>
    </w:rPr>
  </w:style>
  <w:style w:type="paragraph" w:styleId="Title">
    <w:name w:val="Title"/>
    <w:basedOn w:val="Normal"/>
    <w:next w:val="Normal"/>
    <w:link w:val="TitleChar"/>
    <w:uiPriority w:val="10"/>
    <w:qFormat/>
    <w:rsid w:val="006A2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EC6"/>
    <w:pPr>
      <w:spacing w:before="160"/>
      <w:jc w:val="center"/>
    </w:pPr>
    <w:rPr>
      <w:i/>
      <w:iCs/>
      <w:color w:val="404040" w:themeColor="text1" w:themeTint="BF"/>
    </w:rPr>
  </w:style>
  <w:style w:type="character" w:customStyle="1" w:styleId="QuoteChar">
    <w:name w:val="Quote Char"/>
    <w:basedOn w:val="DefaultParagraphFont"/>
    <w:link w:val="Quote"/>
    <w:uiPriority w:val="29"/>
    <w:rsid w:val="006A2EC6"/>
    <w:rPr>
      <w:i/>
      <w:iCs/>
      <w:color w:val="404040" w:themeColor="text1" w:themeTint="BF"/>
    </w:rPr>
  </w:style>
  <w:style w:type="paragraph" w:styleId="ListParagraph">
    <w:name w:val="List Paragraph"/>
    <w:basedOn w:val="Normal"/>
    <w:uiPriority w:val="34"/>
    <w:qFormat/>
    <w:rsid w:val="006A2EC6"/>
    <w:pPr>
      <w:ind w:left="720"/>
      <w:contextualSpacing/>
    </w:pPr>
  </w:style>
  <w:style w:type="character" w:styleId="IntenseEmphasis">
    <w:name w:val="Intense Emphasis"/>
    <w:basedOn w:val="DefaultParagraphFont"/>
    <w:uiPriority w:val="21"/>
    <w:qFormat/>
    <w:rsid w:val="006A2EC6"/>
    <w:rPr>
      <w:i/>
      <w:iCs/>
      <w:color w:val="0F4761" w:themeColor="accent1" w:themeShade="BF"/>
    </w:rPr>
  </w:style>
  <w:style w:type="paragraph" w:styleId="IntenseQuote">
    <w:name w:val="Intense Quote"/>
    <w:basedOn w:val="Normal"/>
    <w:next w:val="Normal"/>
    <w:link w:val="IntenseQuoteChar"/>
    <w:uiPriority w:val="30"/>
    <w:qFormat/>
    <w:rsid w:val="006A2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EC6"/>
    <w:rPr>
      <w:i/>
      <w:iCs/>
      <w:color w:val="0F4761" w:themeColor="accent1" w:themeShade="BF"/>
    </w:rPr>
  </w:style>
  <w:style w:type="character" w:styleId="IntenseReference">
    <w:name w:val="Intense Reference"/>
    <w:basedOn w:val="DefaultParagraphFont"/>
    <w:uiPriority w:val="32"/>
    <w:qFormat/>
    <w:rsid w:val="006A2EC6"/>
    <w:rPr>
      <w:b/>
      <w:bCs/>
      <w:smallCaps/>
      <w:color w:val="0F4761" w:themeColor="accent1" w:themeShade="BF"/>
      <w:spacing w:val="5"/>
    </w:rPr>
  </w:style>
  <w:style w:type="character" w:styleId="Strong">
    <w:name w:val="Strong"/>
    <w:basedOn w:val="DefaultParagraphFont"/>
    <w:uiPriority w:val="22"/>
    <w:qFormat/>
    <w:rsid w:val="006A2EC6"/>
    <w:rPr>
      <w:b/>
      <w:bCs/>
    </w:rPr>
  </w:style>
  <w:style w:type="paragraph" w:styleId="NormalWeb">
    <w:name w:val="Normal (Web)"/>
    <w:basedOn w:val="Normal"/>
    <w:uiPriority w:val="99"/>
    <w:semiHidden/>
    <w:unhideWhenUsed/>
    <w:rsid w:val="006A2EC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6235CD"/>
    <w:rPr>
      <w:color w:val="467886" w:themeColor="hyperlink"/>
      <w:u w:val="single"/>
    </w:rPr>
  </w:style>
  <w:style w:type="character" w:customStyle="1" w:styleId="UnresolvedMention1">
    <w:name w:val="Unresolved Mention1"/>
    <w:basedOn w:val="DefaultParagraphFont"/>
    <w:uiPriority w:val="99"/>
    <w:semiHidden/>
    <w:unhideWhenUsed/>
    <w:rsid w:val="006235CD"/>
    <w:rPr>
      <w:color w:val="605E5C"/>
      <w:shd w:val="clear" w:color="auto" w:fill="E1DFDD"/>
    </w:rPr>
  </w:style>
  <w:style w:type="character" w:styleId="CommentReference">
    <w:name w:val="annotation reference"/>
    <w:basedOn w:val="DefaultParagraphFont"/>
    <w:uiPriority w:val="99"/>
    <w:semiHidden/>
    <w:unhideWhenUsed/>
    <w:rsid w:val="00AE79E9"/>
    <w:rPr>
      <w:sz w:val="16"/>
      <w:szCs w:val="16"/>
    </w:rPr>
  </w:style>
  <w:style w:type="paragraph" w:styleId="CommentText">
    <w:name w:val="annotation text"/>
    <w:basedOn w:val="Normal"/>
    <w:link w:val="CommentTextChar"/>
    <w:uiPriority w:val="99"/>
    <w:unhideWhenUsed/>
    <w:rsid w:val="00AE79E9"/>
    <w:pPr>
      <w:spacing w:line="240" w:lineRule="auto"/>
    </w:pPr>
    <w:rPr>
      <w:sz w:val="20"/>
      <w:szCs w:val="20"/>
    </w:rPr>
  </w:style>
  <w:style w:type="character" w:customStyle="1" w:styleId="CommentTextChar">
    <w:name w:val="Comment Text Char"/>
    <w:basedOn w:val="DefaultParagraphFont"/>
    <w:link w:val="CommentText"/>
    <w:uiPriority w:val="99"/>
    <w:rsid w:val="00AE79E9"/>
    <w:rPr>
      <w:sz w:val="20"/>
      <w:szCs w:val="20"/>
    </w:rPr>
  </w:style>
  <w:style w:type="paragraph" w:styleId="CommentSubject">
    <w:name w:val="annotation subject"/>
    <w:basedOn w:val="CommentText"/>
    <w:next w:val="CommentText"/>
    <w:link w:val="CommentSubjectChar"/>
    <w:uiPriority w:val="99"/>
    <w:semiHidden/>
    <w:unhideWhenUsed/>
    <w:rsid w:val="00AE79E9"/>
    <w:rPr>
      <w:b/>
      <w:bCs/>
    </w:rPr>
  </w:style>
  <w:style w:type="character" w:customStyle="1" w:styleId="CommentSubjectChar">
    <w:name w:val="Comment Subject Char"/>
    <w:basedOn w:val="CommentTextChar"/>
    <w:link w:val="CommentSubject"/>
    <w:uiPriority w:val="99"/>
    <w:semiHidden/>
    <w:rsid w:val="00AE79E9"/>
    <w:rPr>
      <w:b/>
      <w:bCs/>
      <w:sz w:val="20"/>
      <w:szCs w:val="20"/>
    </w:rPr>
  </w:style>
  <w:style w:type="paragraph" w:styleId="BalloonText">
    <w:name w:val="Balloon Text"/>
    <w:basedOn w:val="Normal"/>
    <w:link w:val="BalloonTextChar"/>
    <w:uiPriority w:val="99"/>
    <w:semiHidden/>
    <w:unhideWhenUsed/>
    <w:rsid w:val="00F5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3A"/>
    <w:rPr>
      <w:rFonts w:ascii="Segoe UI" w:hAnsi="Segoe UI" w:cs="Segoe UI"/>
      <w:sz w:val="18"/>
      <w:szCs w:val="18"/>
    </w:rPr>
  </w:style>
  <w:style w:type="paragraph" w:styleId="Revision">
    <w:name w:val="Revision"/>
    <w:hidden/>
    <w:uiPriority w:val="99"/>
    <w:semiHidden/>
    <w:rsid w:val="00AC1550"/>
    <w:pPr>
      <w:spacing w:after="0" w:line="240" w:lineRule="auto"/>
    </w:pPr>
  </w:style>
  <w:style w:type="paragraph" w:styleId="Header">
    <w:name w:val="header"/>
    <w:basedOn w:val="Normal"/>
    <w:link w:val="HeaderChar"/>
    <w:uiPriority w:val="99"/>
    <w:unhideWhenUsed/>
    <w:rsid w:val="00527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810"/>
  </w:style>
  <w:style w:type="paragraph" w:styleId="Footer">
    <w:name w:val="footer"/>
    <w:basedOn w:val="Normal"/>
    <w:link w:val="FooterChar"/>
    <w:uiPriority w:val="99"/>
    <w:unhideWhenUsed/>
    <w:rsid w:val="00527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7263">
      <w:bodyDiv w:val="1"/>
      <w:marLeft w:val="0"/>
      <w:marRight w:val="0"/>
      <w:marTop w:val="0"/>
      <w:marBottom w:val="0"/>
      <w:divBdr>
        <w:top w:val="none" w:sz="0" w:space="0" w:color="auto"/>
        <w:left w:val="none" w:sz="0" w:space="0" w:color="auto"/>
        <w:bottom w:val="none" w:sz="0" w:space="0" w:color="auto"/>
        <w:right w:val="none" w:sz="0" w:space="0" w:color="auto"/>
      </w:divBdr>
    </w:div>
    <w:div w:id="625240374">
      <w:bodyDiv w:val="1"/>
      <w:marLeft w:val="0"/>
      <w:marRight w:val="0"/>
      <w:marTop w:val="0"/>
      <w:marBottom w:val="0"/>
      <w:divBdr>
        <w:top w:val="none" w:sz="0" w:space="0" w:color="auto"/>
        <w:left w:val="none" w:sz="0" w:space="0" w:color="auto"/>
        <w:bottom w:val="none" w:sz="0" w:space="0" w:color="auto"/>
        <w:right w:val="none" w:sz="0" w:space="0" w:color="auto"/>
      </w:divBdr>
    </w:div>
    <w:div w:id="1073507562">
      <w:bodyDiv w:val="1"/>
      <w:marLeft w:val="0"/>
      <w:marRight w:val="0"/>
      <w:marTop w:val="0"/>
      <w:marBottom w:val="0"/>
      <w:divBdr>
        <w:top w:val="none" w:sz="0" w:space="0" w:color="auto"/>
        <w:left w:val="none" w:sz="0" w:space="0" w:color="auto"/>
        <w:bottom w:val="none" w:sz="0" w:space="0" w:color="auto"/>
        <w:right w:val="none" w:sz="0" w:space="0" w:color="auto"/>
      </w:divBdr>
    </w:div>
    <w:div w:id="1328170077">
      <w:bodyDiv w:val="1"/>
      <w:marLeft w:val="0"/>
      <w:marRight w:val="0"/>
      <w:marTop w:val="0"/>
      <w:marBottom w:val="0"/>
      <w:divBdr>
        <w:top w:val="none" w:sz="0" w:space="0" w:color="auto"/>
        <w:left w:val="none" w:sz="0" w:space="0" w:color="auto"/>
        <w:bottom w:val="none" w:sz="0" w:space="0" w:color="auto"/>
        <w:right w:val="none" w:sz="0" w:space="0" w:color="auto"/>
      </w:divBdr>
      <w:divsChild>
        <w:div w:id="925572634">
          <w:marLeft w:val="0"/>
          <w:marRight w:val="0"/>
          <w:marTop w:val="0"/>
          <w:marBottom w:val="0"/>
          <w:divBdr>
            <w:top w:val="none" w:sz="0" w:space="0" w:color="auto"/>
            <w:left w:val="none" w:sz="0" w:space="0" w:color="auto"/>
            <w:bottom w:val="none" w:sz="0" w:space="0" w:color="auto"/>
            <w:right w:val="none" w:sz="0" w:space="0" w:color="auto"/>
          </w:divBdr>
          <w:divsChild>
            <w:div w:id="2052069713">
              <w:marLeft w:val="0"/>
              <w:marRight w:val="0"/>
              <w:marTop w:val="0"/>
              <w:marBottom w:val="0"/>
              <w:divBdr>
                <w:top w:val="none" w:sz="0" w:space="0" w:color="auto"/>
                <w:left w:val="none" w:sz="0" w:space="0" w:color="auto"/>
                <w:bottom w:val="none" w:sz="0" w:space="0" w:color="auto"/>
                <w:right w:val="none" w:sz="0" w:space="0" w:color="auto"/>
              </w:divBdr>
              <w:divsChild>
                <w:div w:id="1984696818">
                  <w:marLeft w:val="0"/>
                  <w:marRight w:val="0"/>
                  <w:marTop w:val="0"/>
                  <w:marBottom w:val="0"/>
                  <w:divBdr>
                    <w:top w:val="none" w:sz="0" w:space="0" w:color="auto"/>
                    <w:left w:val="none" w:sz="0" w:space="0" w:color="auto"/>
                    <w:bottom w:val="none" w:sz="0" w:space="0" w:color="auto"/>
                    <w:right w:val="none" w:sz="0" w:space="0" w:color="auto"/>
                  </w:divBdr>
                  <w:divsChild>
                    <w:div w:id="1236011318">
                      <w:marLeft w:val="0"/>
                      <w:marRight w:val="0"/>
                      <w:marTop w:val="0"/>
                      <w:marBottom w:val="0"/>
                      <w:divBdr>
                        <w:top w:val="none" w:sz="0" w:space="0" w:color="auto"/>
                        <w:left w:val="none" w:sz="0" w:space="0" w:color="auto"/>
                        <w:bottom w:val="none" w:sz="0" w:space="0" w:color="auto"/>
                        <w:right w:val="none" w:sz="0" w:space="0" w:color="auto"/>
                      </w:divBdr>
                      <w:divsChild>
                        <w:div w:id="355885088">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32268">
      <w:bodyDiv w:val="1"/>
      <w:marLeft w:val="0"/>
      <w:marRight w:val="0"/>
      <w:marTop w:val="0"/>
      <w:marBottom w:val="0"/>
      <w:divBdr>
        <w:top w:val="none" w:sz="0" w:space="0" w:color="auto"/>
        <w:left w:val="none" w:sz="0" w:space="0" w:color="auto"/>
        <w:bottom w:val="none" w:sz="0" w:space="0" w:color="auto"/>
        <w:right w:val="none" w:sz="0" w:space="0" w:color="auto"/>
      </w:divBdr>
    </w:div>
    <w:div w:id="1727295246">
      <w:bodyDiv w:val="1"/>
      <w:marLeft w:val="0"/>
      <w:marRight w:val="0"/>
      <w:marTop w:val="0"/>
      <w:marBottom w:val="0"/>
      <w:divBdr>
        <w:top w:val="none" w:sz="0" w:space="0" w:color="auto"/>
        <w:left w:val="none" w:sz="0" w:space="0" w:color="auto"/>
        <w:bottom w:val="none" w:sz="0" w:space="0" w:color="auto"/>
        <w:right w:val="none" w:sz="0" w:space="0" w:color="auto"/>
      </w:divBdr>
    </w:div>
    <w:div w:id="1841584564">
      <w:bodyDiv w:val="1"/>
      <w:marLeft w:val="0"/>
      <w:marRight w:val="0"/>
      <w:marTop w:val="0"/>
      <w:marBottom w:val="0"/>
      <w:divBdr>
        <w:top w:val="none" w:sz="0" w:space="0" w:color="auto"/>
        <w:left w:val="none" w:sz="0" w:space="0" w:color="auto"/>
        <w:bottom w:val="none" w:sz="0" w:space="0" w:color="auto"/>
        <w:right w:val="none" w:sz="0" w:space="0" w:color="auto"/>
      </w:divBdr>
    </w:div>
    <w:div w:id="1946303822">
      <w:bodyDiv w:val="1"/>
      <w:marLeft w:val="0"/>
      <w:marRight w:val="0"/>
      <w:marTop w:val="0"/>
      <w:marBottom w:val="0"/>
      <w:divBdr>
        <w:top w:val="none" w:sz="0" w:space="0" w:color="auto"/>
        <w:left w:val="none" w:sz="0" w:space="0" w:color="auto"/>
        <w:bottom w:val="none" w:sz="0" w:space="0" w:color="auto"/>
        <w:right w:val="none" w:sz="0" w:space="0" w:color="auto"/>
      </w:divBdr>
    </w:div>
    <w:div w:id="2021195916">
      <w:bodyDiv w:val="1"/>
      <w:marLeft w:val="0"/>
      <w:marRight w:val="0"/>
      <w:marTop w:val="0"/>
      <w:marBottom w:val="0"/>
      <w:divBdr>
        <w:top w:val="none" w:sz="0" w:space="0" w:color="auto"/>
        <w:left w:val="none" w:sz="0" w:space="0" w:color="auto"/>
        <w:bottom w:val="none" w:sz="0" w:space="0" w:color="auto"/>
        <w:right w:val="none" w:sz="0" w:space="0" w:color="auto"/>
      </w:divBdr>
    </w:div>
    <w:div w:id="21460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arman.gasparyan@rwi.l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yerevan@rwi.lu.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5D8A6-B118-4923-BF83-49C334B6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12548</Characters>
  <Application>Microsoft Office Word</Application>
  <DocSecurity>0</DocSecurity>
  <Lines>104</Lines>
  <Paragraphs>29</Paragraphs>
  <ScaleCrop>false</ScaleCrop>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Gasparyan</dc:creator>
  <cp:keywords/>
  <dc:description/>
  <cp:lastModifiedBy>Arman Gasparyan</cp:lastModifiedBy>
  <cp:revision>13</cp:revision>
  <dcterms:created xsi:type="dcterms:W3CDTF">2026-04-06T06:53:00Z</dcterms:created>
  <dcterms:modified xsi:type="dcterms:W3CDTF">2026-04-20T06:42:00Z</dcterms:modified>
</cp:coreProperties>
</file>